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90"/>
        </w:tabs>
        <w:ind w:firstLine="1205" w:firstLineChars="400"/>
        <w:jc w:val="center"/>
        <w:rPr>
          <w:rFonts w:hint="eastAsia" w:ascii="宋体" w:hAnsi="宋体" w:eastAsia="宋体" w:cs="宋体"/>
          <w:b/>
          <w:sz w:val="30"/>
          <w:szCs w:val="30"/>
          <w:lang w:eastAsia="zh-CN"/>
        </w:rPr>
      </w:pPr>
      <w:r>
        <w:rPr>
          <w:rFonts w:hint="eastAsia" w:ascii="宋体" w:hAnsi="宋体" w:cs="宋体"/>
          <w:b/>
          <w:sz w:val="30"/>
          <w:szCs w:val="30"/>
        </w:rPr>
        <w:t>采购项目编号：</w:t>
      </w:r>
      <w:r>
        <w:rPr>
          <w:rFonts w:hint="eastAsia" w:ascii="宋体" w:hAnsi="宋体" w:cs="宋体"/>
          <w:b/>
          <w:sz w:val="30"/>
          <w:szCs w:val="30"/>
          <w:lang w:eastAsia="zh-CN"/>
        </w:rPr>
        <w:t>2021-SCGXCG025</w:t>
      </w:r>
    </w:p>
    <w:p>
      <w:pPr>
        <w:tabs>
          <w:tab w:val="left" w:pos="1890"/>
        </w:tabs>
        <w:jc w:val="center"/>
        <w:rPr>
          <w:rFonts w:ascii="宋体" w:hAnsi="宋体" w:cs="宋体"/>
          <w:b/>
          <w:sz w:val="36"/>
          <w:szCs w:val="36"/>
        </w:rPr>
      </w:pPr>
    </w:p>
    <w:p>
      <w:pPr>
        <w:pStyle w:val="9"/>
        <w:jc w:val="center"/>
        <w:rPr>
          <w:rFonts w:hint="eastAsia" w:eastAsia="宋体"/>
          <w:lang w:eastAsia="zh-CN"/>
        </w:rPr>
      </w:pPr>
      <w:r>
        <w:rPr>
          <w:rFonts w:hint="eastAsia" w:ascii="宋体" w:hAnsi="宋体" w:cs="宋体"/>
          <w:b/>
          <w:sz w:val="44"/>
          <w:szCs w:val="44"/>
          <w:lang w:eastAsia="zh-CN"/>
        </w:rPr>
        <w:t>南充市图书馆馆内墙地面空间书画及软装设计制作安装项目</w:t>
      </w:r>
    </w:p>
    <w:p>
      <w:pPr>
        <w:pStyle w:val="2"/>
        <w:rPr>
          <w:color w:val="auto"/>
        </w:rPr>
      </w:pPr>
    </w:p>
    <w:p>
      <w:pPr>
        <w:tabs>
          <w:tab w:val="left" w:pos="1890"/>
        </w:tabs>
        <w:jc w:val="center"/>
        <w:rPr>
          <w:rFonts w:ascii="宋体" w:hAnsi="宋体" w:cs="宋体"/>
          <w:b/>
          <w:sz w:val="72"/>
          <w:szCs w:val="72"/>
        </w:rPr>
      </w:pPr>
      <w:r>
        <w:rPr>
          <w:rFonts w:hint="eastAsia" w:ascii="宋体" w:hAnsi="宋体" w:cs="宋体"/>
          <w:b/>
          <w:sz w:val="72"/>
          <w:szCs w:val="72"/>
        </w:rPr>
        <w:t>竞</w:t>
      </w:r>
    </w:p>
    <w:p>
      <w:pPr>
        <w:tabs>
          <w:tab w:val="left" w:pos="1890"/>
        </w:tabs>
        <w:jc w:val="center"/>
        <w:rPr>
          <w:rFonts w:ascii="宋体" w:hAnsi="宋体" w:cs="宋体"/>
          <w:b/>
          <w:sz w:val="72"/>
          <w:szCs w:val="72"/>
        </w:rPr>
      </w:pPr>
      <w:r>
        <w:rPr>
          <w:rFonts w:hint="eastAsia" w:ascii="宋体" w:hAnsi="宋体" w:cs="宋体"/>
          <w:b/>
          <w:sz w:val="72"/>
          <w:szCs w:val="72"/>
        </w:rPr>
        <w:t>争</w:t>
      </w:r>
    </w:p>
    <w:p>
      <w:pPr>
        <w:tabs>
          <w:tab w:val="left" w:pos="1890"/>
        </w:tabs>
        <w:jc w:val="center"/>
        <w:rPr>
          <w:rFonts w:ascii="宋体" w:hAnsi="宋体" w:cs="宋体"/>
          <w:b/>
          <w:sz w:val="72"/>
          <w:szCs w:val="72"/>
        </w:rPr>
      </w:pPr>
      <w:r>
        <w:rPr>
          <w:rFonts w:hint="eastAsia" w:ascii="宋体" w:hAnsi="宋体" w:cs="宋体"/>
          <w:b/>
          <w:sz w:val="72"/>
          <w:szCs w:val="72"/>
        </w:rPr>
        <w:t>性</w:t>
      </w:r>
    </w:p>
    <w:p>
      <w:pPr>
        <w:tabs>
          <w:tab w:val="left" w:pos="1890"/>
        </w:tabs>
        <w:jc w:val="center"/>
        <w:rPr>
          <w:rFonts w:ascii="宋体" w:hAnsi="宋体" w:cs="宋体"/>
          <w:b/>
          <w:sz w:val="72"/>
          <w:szCs w:val="72"/>
        </w:rPr>
      </w:pPr>
      <w:r>
        <w:rPr>
          <w:rFonts w:hint="eastAsia" w:ascii="宋体" w:hAnsi="宋体" w:cs="宋体"/>
          <w:b/>
          <w:sz w:val="72"/>
          <w:szCs w:val="72"/>
        </w:rPr>
        <w:t>谈</w:t>
      </w:r>
    </w:p>
    <w:p>
      <w:pPr>
        <w:tabs>
          <w:tab w:val="left" w:pos="1890"/>
        </w:tabs>
        <w:jc w:val="center"/>
        <w:rPr>
          <w:rFonts w:ascii="宋体" w:hAnsi="宋体" w:cs="宋体"/>
          <w:b/>
          <w:sz w:val="72"/>
          <w:szCs w:val="72"/>
        </w:rPr>
      </w:pPr>
      <w:r>
        <w:rPr>
          <w:rFonts w:hint="eastAsia" w:ascii="宋体" w:hAnsi="宋体" w:cs="宋体"/>
          <w:b/>
          <w:sz w:val="72"/>
          <w:szCs w:val="72"/>
        </w:rPr>
        <w:t>判</w:t>
      </w:r>
    </w:p>
    <w:p>
      <w:pPr>
        <w:tabs>
          <w:tab w:val="left" w:pos="1890"/>
        </w:tabs>
        <w:jc w:val="center"/>
        <w:rPr>
          <w:rFonts w:ascii="宋体" w:hAnsi="宋体" w:cs="宋体"/>
          <w:b/>
          <w:sz w:val="72"/>
          <w:szCs w:val="72"/>
        </w:rPr>
      </w:pPr>
      <w:r>
        <w:rPr>
          <w:rFonts w:hint="eastAsia" w:ascii="宋体" w:hAnsi="宋体" w:cs="宋体"/>
          <w:b/>
          <w:sz w:val="72"/>
          <w:szCs w:val="72"/>
        </w:rPr>
        <w:t>文</w:t>
      </w:r>
    </w:p>
    <w:p>
      <w:pPr>
        <w:tabs>
          <w:tab w:val="left" w:pos="1890"/>
        </w:tabs>
        <w:jc w:val="center"/>
        <w:rPr>
          <w:rFonts w:ascii="宋体" w:hAnsi="宋体" w:cs="宋体"/>
          <w:b/>
          <w:sz w:val="52"/>
          <w:szCs w:val="52"/>
        </w:rPr>
      </w:pPr>
      <w:r>
        <w:rPr>
          <w:rFonts w:hint="eastAsia" w:ascii="宋体" w:hAnsi="宋体" w:cs="宋体"/>
          <w:b/>
          <w:sz w:val="72"/>
          <w:szCs w:val="72"/>
        </w:rPr>
        <w:t>件</w:t>
      </w:r>
    </w:p>
    <w:p>
      <w:pPr>
        <w:tabs>
          <w:tab w:val="left" w:pos="1890"/>
        </w:tabs>
        <w:spacing w:line="360" w:lineRule="auto"/>
        <w:jc w:val="center"/>
        <w:rPr>
          <w:rFonts w:ascii="宋体" w:hAnsi="宋体" w:cs="宋体"/>
          <w:b/>
          <w:sz w:val="32"/>
          <w:szCs w:val="32"/>
        </w:rPr>
      </w:pPr>
    </w:p>
    <w:p>
      <w:pPr>
        <w:tabs>
          <w:tab w:val="left" w:pos="1890"/>
        </w:tabs>
        <w:spacing w:line="360" w:lineRule="auto"/>
        <w:jc w:val="center"/>
        <w:rPr>
          <w:rFonts w:ascii="宋体" w:hAnsi="宋体" w:cs="宋体"/>
          <w:b/>
          <w:sz w:val="32"/>
          <w:szCs w:val="32"/>
        </w:rPr>
      </w:pPr>
      <w:r>
        <w:rPr>
          <w:rFonts w:hint="eastAsia" w:ascii="宋体" w:hAnsi="宋体" w:cs="宋体"/>
          <w:sz w:val="32"/>
        </w:rPr>
        <mc:AlternateContent>
          <mc:Choice Requires="wps">
            <w:drawing>
              <wp:anchor distT="0" distB="0" distL="114300" distR="114300" simplePos="0" relativeHeight="251659264" behindDoc="0" locked="0" layoutInCell="1" allowOverlap="1">
                <wp:simplePos x="0" y="0"/>
                <wp:positionH relativeFrom="column">
                  <wp:posOffset>4822825</wp:posOffset>
                </wp:positionH>
                <wp:positionV relativeFrom="paragraph">
                  <wp:posOffset>353060</wp:posOffset>
                </wp:positionV>
                <wp:extent cx="1222375" cy="732155"/>
                <wp:effectExtent l="0" t="0" r="15875" b="10795"/>
                <wp:wrapNone/>
                <wp:docPr id="4" name="文本框 4"/>
                <wp:cNvGraphicFramePr/>
                <a:graphic xmlns:a="http://schemas.openxmlformats.org/drawingml/2006/main">
                  <a:graphicData uri="http://schemas.microsoft.com/office/word/2010/wordprocessingShape">
                    <wps:wsp>
                      <wps:cNvSpPr txBox="1"/>
                      <wps:spPr>
                        <a:xfrm>
                          <a:off x="0" y="0"/>
                          <a:ext cx="1222375" cy="732155"/>
                        </a:xfrm>
                        <a:prstGeom prst="rect">
                          <a:avLst/>
                        </a:prstGeom>
                        <a:solidFill>
                          <a:srgbClr val="FFFFFF"/>
                        </a:solidFill>
                        <a:ln>
                          <a:noFill/>
                        </a:ln>
                      </wps:spPr>
                      <wps:txbx>
                        <w:txbxContent>
                          <w:p>
                            <w:pPr>
                              <w:rPr>
                                <w:rFonts w:ascii="黑体" w:hAnsi="黑体" w:eastAsia="黑体" w:cs="黑体"/>
                              </w:rPr>
                            </w:pPr>
                          </w:p>
                          <w:p>
                            <w:pPr>
                              <w:ind w:firstLine="321" w:firstLineChars="100"/>
                              <w:rPr>
                                <w:rFonts w:ascii="宋体" w:hAnsi="宋体" w:cs="宋体"/>
                                <w:b/>
                                <w:bCs/>
                                <w:sz w:val="32"/>
                                <w:szCs w:val="32"/>
                              </w:rPr>
                            </w:pPr>
                            <w:r>
                              <w:rPr>
                                <w:rFonts w:hint="eastAsia" w:ascii="宋体" w:hAnsi="宋体" w:cs="宋体"/>
                                <w:b/>
                                <w:bCs/>
                                <w:sz w:val="32"/>
                                <w:szCs w:val="32"/>
                              </w:rPr>
                              <w:t>共同编制</w:t>
                            </w:r>
                          </w:p>
                        </w:txbxContent>
                      </wps:txbx>
                      <wps:bodyPr upright="1"/>
                    </wps:wsp>
                  </a:graphicData>
                </a:graphic>
              </wp:anchor>
            </w:drawing>
          </mc:Choice>
          <mc:Fallback>
            <w:pict>
              <v:shape id="_x0000_s1026" o:spid="_x0000_s1026" o:spt="202" type="#_x0000_t202" style="position:absolute;left:0pt;margin-left:379.75pt;margin-top:27.8pt;height:57.65pt;width:96.25pt;z-index:251659264;mso-width-relative:page;mso-height-relative:page;" fillcolor="#FFFFFF" filled="t" stroked="f" coordsize="21600,21600" o:gfxdata="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xTvx7XAAAACgEAAA8AAAAAAAAAAQAgAAAAIgAAAGRycy9kb3ducmV2Lnht&#10;bFBLAQIUABQAAAAIAIdO4kCKXUtZwQEAAHcDAAAOAAAAAAAAAAEAIAAAACYBAABkcnMvZTJvRG9j&#10;LnhtbFBLBQYAAAAABgAGAFkBAABZBQAAAAA=&#10;">
                <v:fill on="t" focussize="0,0"/>
                <v:stroke on="f"/>
                <v:imagedata o:title=""/>
                <o:lock v:ext="edit" aspectratio="f"/>
                <v:textbox>
                  <w:txbxContent>
                    <w:p>
                      <w:pPr>
                        <w:rPr>
                          <w:rFonts w:ascii="黑体" w:hAnsi="黑体" w:eastAsia="黑体" w:cs="黑体"/>
                        </w:rPr>
                      </w:pPr>
                    </w:p>
                    <w:p>
                      <w:pPr>
                        <w:ind w:firstLine="321" w:firstLineChars="100"/>
                        <w:rPr>
                          <w:rFonts w:ascii="宋体" w:hAnsi="宋体" w:cs="宋体"/>
                          <w:b/>
                          <w:bCs/>
                          <w:sz w:val="32"/>
                          <w:szCs w:val="32"/>
                        </w:rPr>
                      </w:pPr>
                      <w:r>
                        <w:rPr>
                          <w:rFonts w:hint="eastAsia" w:ascii="宋体" w:hAnsi="宋体" w:cs="宋体"/>
                          <w:b/>
                          <w:bCs/>
                          <w:sz w:val="32"/>
                          <w:szCs w:val="32"/>
                        </w:rPr>
                        <w:t>共同编制</w:t>
                      </w:r>
                    </w:p>
                  </w:txbxContent>
                </v:textbox>
              </v:shape>
            </w:pict>
          </mc:Fallback>
        </mc:AlternateContent>
      </w:r>
      <w:r>
        <w:rPr>
          <w:rFonts w:hint="eastAsia" w:ascii="宋体" w:hAnsi="宋体" w:cs="宋体"/>
          <w:b/>
          <w:sz w:val="32"/>
          <w:szCs w:val="32"/>
        </w:rPr>
        <w:t>中国·四川（</w:t>
      </w:r>
      <w:r>
        <w:rPr>
          <w:rFonts w:hint="eastAsia" w:ascii="宋体" w:hAnsi="宋体" w:cs="宋体"/>
          <w:b/>
          <w:sz w:val="30"/>
          <w:szCs w:val="30"/>
        </w:rPr>
        <w:t>南充</w:t>
      </w:r>
      <w:r>
        <w:rPr>
          <w:rFonts w:hint="eastAsia" w:ascii="宋体" w:hAnsi="宋体" w:cs="宋体"/>
          <w:b/>
          <w:sz w:val="32"/>
          <w:szCs w:val="32"/>
        </w:rPr>
        <w:t>）</w:t>
      </w:r>
    </w:p>
    <w:p>
      <w:pPr>
        <w:tabs>
          <w:tab w:val="left" w:pos="1890"/>
        </w:tabs>
        <w:spacing w:line="360" w:lineRule="auto"/>
        <w:ind w:firstLine="2409" w:firstLineChars="800"/>
        <w:rPr>
          <w:rFonts w:ascii="宋体" w:hAnsi="宋体" w:cs="宋体"/>
          <w:b/>
          <w:sz w:val="30"/>
          <w:szCs w:val="30"/>
          <w:lang w:val="zh-CN"/>
        </w:rPr>
      </w:pPr>
      <w:r>
        <w:rPr>
          <w:rFonts w:hint="eastAsia" w:ascii="宋体" w:hAnsi="宋体" w:cs="宋体"/>
          <w:b/>
          <w:sz w:val="30"/>
          <w:szCs w:val="30"/>
          <w:lang w:eastAsia="zh-CN"/>
        </w:rPr>
        <w:t>南充市图书馆</w:t>
      </w:r>
      <w:r>
        <w:rPr>
          <w:rFonts w:hint="eastAsia" w:ascii="宋体" w:hAnsi="宋体" w:cs="宋体"/>
          <w:b/>
          <w:sz w:val="30"/>
          <w:szCs w:val="30"/>
          <w:lang w:val="zh-CN"/>
        </w:rPr>
        <w:t>（采购人）</w:t>
      </w:r>
    </w:p>
    <w:p>
      <w:pPr>
        <w:tabs>
          <w:tab w:val="left" w:pos="1890"/>
        </w:tabs>
        <w:spacing w:line="360" w:lineRule="auto"/>
        <w:ind w:firstLine="904" w:firstLineChars="300"/>
        <w:rPr>
          <w:rFonts w:ascii="宋体" w:hAnsi="宋体" w:cs="宋体"/>
          <w:b/>
          <w:sz w:val="32"/>
          <w:szCs w:val="32"/>
        </w:rPr>
      </w:pPr>
      <w:r>
        <w:rPr>
          <w:rFonts w:hint="eastAsia" w:ascii="宋体" w:hAnsi="宋体" w:cs="宋体"/>
          <w:b/>
          <w:sz w:val="30"/>
          <w:szCs w:val="30"/>
        </w:rPr>
        <w:t>四川艮鑫工程项目管理有限公司</w:t>
      </w:r>
      <w:r>
        <w:rPr>
          <w:rFonts w:hint="eastAsia" w:ascii="宋体" w:hAnsi="宋体" w:cs="宋体"/>
          <w:b/>
          <w:sz w:val="32"/>
          <w:szCs w:val="32"/>
        </w:rPr>
        <w:t>（采购代理机构）</w:t>
      </w:r>
    </w:p>
    <w:p>
      <w:pPr>
        <w:tabs>
          <w:tab w:val="left" w:pos="1890"/>
        </w:tabs>
        <w:spacing w:line="360" w:lineRule="auto"/>
        <w:jc w:val="center"/>
        <w:rPr>
          <w:rFonts w:hint="eastAsia" w:ascii="宋体" w:hAnsi="宋体" w:eastAsia="宋体" w:cs="宋体"/>
          <w:sz w:val="32"/>
          <w:lang w:eastAsia="zh-CN"/>
        </w:rPr>
      </w:pPr>
      <w:r>
        <w:rPr>
          <w:rFonts w:hint="eastAsia" w:ascii="宋体" w:hAnsi="宋体" w:cs="宋体"/>
          <w:b/>
          <w:sz w:val="30"/>
          <w:szCs w:val="30"/>
          <w:lang w:eastAsia="zh-CN"/>
        </w:rPr>
        <w:t>2021年10月</w:t>
      </w:r>
    </w:p>
    <w:p>
      <w:pPr>
        <w:pStyle w:val="16"/>
        <w:tabs>
          <w:tab w:val="right" w:leader="dot" w:pos="8640"/>
        </w:tabs>
        <w:jc w:val="center"/>
        <w:rPr>
          <w:rFonts w:ascii="宋体" w:hAnsi="宋体" w:cs="宋体"/>
          <w:b/>
          <w:bCs/>
          <w:sz w:val="32"/>
        </w:rPr>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titlePg/>
          <w:docGrid w:type="lines" w:linePitch="312" w:charSpace="0"/>
        </w:sectPr>
      </w:pPr>
    </w:p>
    <w:p>
      <w:pPr>
        <w:pStyle w:val="16"/>
        <w:tabs>
          <w:tab w:val="right" w:leader="dot" w:pos="8640"/>
        </w:tabs>
        <w:jc w:val="center"/>
        <w:rPr>
          <w:rFonts w:ascii="宋体" w:hAnsi="宋体" w:cs="宋体"/>
          <w:b/>
          <w:bCs/>
          <w:sz w:val="24"/>
          <w:szCs w:val="24"/>
        </w:rPr>
      </w:pPr>
      <w:r>
        <w:rPr>
          <w:rFonts w:hint="eastAsia" w:ascii="宋体" w:hAnsi="宋体" w:cs="宋体"/>
          <w:b/>
          <w:bCs/>
          <w:sz w:val="36"/>
          <w:szCs w:val="36"/>
        </w:rPr>
        <w:t>目  录</w:t>
      </w:r>
    </w:p>
    <w:p>
      <w:pPr>
        <w:pStyle w:val="16"/>
        <w:tabs>
          <w:tab w:val="right" w:leader="dot" w:pos="8640"/>
        </w:tabs>
        <w:spacing w:line="440" w:lineRule="exact"/>
        <w:rPr>
          <w:rFonts w:ascii="宋体" w:hAnsi="宋体" w:cs="宋体"/>
          <w:sz w:val="24"/>
          <w:szCs w:val="24"/>
        </w:rPr>
      </w:pPr>
    </w:p>
    <w:p>
      <w:pPr>
        <w:pStyle w:val="15"/>
        <w:tabs>
          <w:tab w:val="right" w:leader="dot" w:pos="8640"/>
        </w:tabs>
        <w:spacing w:line="520" w:lineRule="exact"/>
        <w:rPr>
          <w:rFonts w:ascii="宋体" w:hAnsi="宋体" w:cs="宋体"/>
          <w:sz w:val="24"/>
          <w:szCs w:val="24"/>
        </w:rPr>
      </w:pPr>
      <w:r>
        <w:rPr>
          <w:rFonts w:hint="eastAsia" w:ascii="宋体" w:hAnsi="宋体" w:cs="宋体"/>
          <w:sz w:val="28"/>
          <w:szCs w:val="28"/>
        </w:rPr>
        <w:fldChar w:fldCharType="begin"/>
      </w:r>
      <w:r>
        <w:rPr>
          <w:rFonts w:hint="eastAsia" w:ascii="宋体" w:hAnsi="宋体" w:cs="宋体"/>
          <w:sz w:val="28"/>
          <w:szCs w:val="28"/>
        </w:rPr>
        <w:instrText xml:space="preserve">TOC \o "1-2" \h \u </w:instrText>
      </w:r>
      <w:r>
        <w:rPr>
          <w:rFonts w:hint="eastAsia" w:ascii="宋体" w:hAnsi="宋体" w:cs="宋体"/>
          <w:sz w:val="28"/>
          <w:szCs w:val="28"/>
        </w:rPr>
        <w:fldChar w:fldCharType="separate"/>
      </w:r>
      <w:r>
        <w:fldChar w:fldCharType="begin"/>
      </w:r>
      <w:r>
        <w:instrText xml:space="preserve"> HYPERLINK \l "_Toc30911" </w:instrText>
      </w:r>
      <w:r>
        <w:fldChar w:fldCharType="separate"/>
      </w:r>
      <w:r>
        <w:rPr>
          <w:rFonts w:hint="eastAsia" w:ascii="宋体" w:hAnsi="宋体" w:cs="宋体"/>
          <w:sz w:val="24"/>
          <w:szCs w:val="24"/>
        </w:rPr>
        <w:t>第一章 谈判邀请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_Toc30911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640"/>
        </w:tabs>
        <w:spacing w:line="520" w:lineRule="exact"/>
        <w:rPr>
          <w:rFonts w:ascii="宋体" w:hAnsi="宋体" w:cs="宋体"/>
          <w:sz w:val="24"/>
          <w:szCs w:val="24"/>
        </w:rPr>
      </w:pPr>
      <w:r>
        <w:fldChar w:fldCharType="begin"/>
      </w:r>
      <w:r>
        <w:instrText xml:space="preserve"> HYPERLINK \l "_Toc562" </w:instrText>
      </w:r>
      <w:r>
        <w:fldChar w:fldCharType="separate"/>
      </w:r>
      <w:r>
        <w:rPr>
          <w:rFonts w:hint="eastAsia" w:ascii="宋体" w:hAnsi="宋体" w:cs="宋体"/>
          <w:sz w:val="24"/>
          <w:szCs w:val="24"/>
        </w:rPr>
        <w:t>第二章 谈判须知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_Toc562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"_Toc20849" </w:instrText>
      </w:r>
      <w:r>
        <w:fldChar w:fldCharType="separate"/>
      </w:r>
      <w:r>
        <w:rPr>
          <w:rFonts w:hint="eastAsia" w:ascii="宋体" w:hAnsi="宋体" w:cs="宋体"/>
          <w:sz w:val="24"/>
          <w:szCs w:val="24"/>
        </w:rPr>
        <w:t>一、 供应商须知附表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_Toc20849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"_Toc20956" </w:instrText>
      </w:r>
      <w:r>
        <w:fldChar w:fldCharType="separate"/>
      </w:r>
      <w:r>
        <w:rPr>
          <w:rFonts w:hint="eastAsia" w:ascii="宋体" w:hAnsi="宋体" w:cs="宋体"/>
          <w:bCs/>
          <w:sz w:val="24"/>
          <w:szCs w:val="24"/>
        </w:rPr>
        <w:t xml:space="preserve">二、 </w:t>
      </w:r>
      <w:r>
        <w:rPr>
          <w:rFonts w:hint="eastAsia" w:ascii="宋体" w:hAnsi="宋体" w:cs="宋体"/>
          <w:sz w:val="24"/>
          <w:szCs w:val="24"/>
        </w:rPr>
        <w:t>总则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_Toc20956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"_Toc13135" </w:instrText>
      </w:r>
      <w:r>
        <w:fldChar w:fldCharType="separate"/>
      </w:r>
      <w:r>
        <w:rPr>
          <w:rFonts w:hint="eastAsia" w:ascii="宋体" w:hAnsi="宋体" w:cs="宋体"/>
          <w:sz w:val="24"/>
          <w:szCs w:val="24"/>
        </w:rPr>
        <w:t>三、 谈判文件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_Toc13135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"_Toc8014" </w:instrText>
      </w:r>
      <w:r>
        <w:fldChar w:fldCharType="separate"/>
      </w:r>
      <w:r>
        <w:rPr>
          <w:rFonts w:hint="eastAsia" w:ascii="宋体" w:hAnsi="宋体" w:cs="宋体"/>
          <w:sz w:val="24"/>
          <w:szCs w:val="24"/>
        </w:rPr>
        <w:t>四、 响应文件</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0</w:t>
      </w:r>
    </w:p>
    <w:p>
      <w:pPr>
        <w:pStyle w:val="16"/>
        <w:tabs>
          <w:tab w:val="right" w:leader="dot" w:pos="8640"/>
        </w:tabs>
        <w:spacing w:line="520" w:lineRule="exact"/>
        <w:rPr>
          <w:rFonts w:ascii="宋体" w:hAnsi="宋体" w:cs="宋体"/>
          <w:sz w:val="24"/>
          <w:szCs w:val="24"/>
        </w:rPr>
      </w:pPr>
      <w:r>
        <w:fldChar w:fldCharType="begin"/>
      </w:r>
      <w:r>
        <w:instrText xml:space="preserve"> HYPERLINK \l "_Toc16640" </w:instrText>
      </w:r>
      <w:r>
        <w:fldChar w:fldCharType="separate"/>
      </w:r>
      <w:r>
        <w:rPr>
          <w:rFonts w:hint="eastAsia" w:ascii="宋体" w:hAnsi="宋体" w:cs="宋体"/>
          <w:sz w:val="24"/>
          <w:szCs w:val="24"/>
        </w:rPr>
        <w:t>五、 评审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_Toc16640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"_Toc9935" </w:instrText>
      </w:r>
      <w:r>
        <w:fldChar w:fldCharType="separate"/>
      </w:r>
      <w:r>
        <w:rPr>
          <w:rFonts w:hint="eastAsia" w:ascii="宋体" w:hAnsi="宋体" w:cs="宋体"/>
          <w:sz w:val="24"/>
          <w:szCs w:val="24"/>
        </w:rPr>
        <w:t>六、 成交事项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_Toc9935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"_Toc24801" </w:instrText>
      </w:r>
      <w:r>
        <w:fldChar w:fldCharType="separate"/>
      </w:r>
      <w:r>
        <w:rPr>
          <w:rFonts w:hint="eastAsia" w:ascii="宋体" w:hAnsi="宋体" w:cs="宋体"/>
          <w:sz w:val="24"/>
          <w:szCs w:val="24"/>
        </w:rPr>
        <w:t>七、 合同事项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_Toc24801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"_Toc19354" </w:instrText>
      </w:r>
      <w:r>
        <w:fldChar w:fldCharType="separate"/>
      </w:r>
      <w:r>
        <w:rPr>
          <w:rFonts w:hint="eastAsia" w:ascii="宋体" w:hAnsi="宋体" w:cs="宋体"/>
          <w:sz w:val="24"/>
          <w:szCs w:val="24"/>
        </w:rPr>
        <w:t>八、 谈判纪律要求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_Toc19354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"_Toc28240" </w:instrText>
      </w:r>
      <w:r>
        <w:fldChar w:fldCharType="separate"/>
      </w:r>
      <w:r>
        <w:rPr>
          <w:rFonts w:hint="eastAsia" w:ascii="宋体" w:hAnsi="宋体" w:cs="宋体"/>
          <w:sz w:val="24"/>
          <w:szCs w:val="24"/>
        </w:rPr>
        <w:t>九、 询问、质疑和投诉</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_Toc28240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rPr>
          <w:rFonts w:ascii="宋体" w:hAnsi="宋体" w:cs="宋体"/>
          <w:sz w:val="24"/>
          <w:szCs w:val="24"/>
        </w:rPr>
      </w:pPr>
      <w:r>
        <w:fldChar w:fldCharType="begin"/>
      </w:r>
      <w:r>
        <w:instrText xml:space="preserve"> HYPERLINK \l "_Toc5243" </w:instrText>
      </w:r>
      <w:r>
        <w:fldChar w:fldCharType="separate"/>
      </w:r>
      <w:r>
        <w:rPr>
          <w:rFonts w:hint="eastAsia" w:ascii="宋体" w:hAnsi="宋体" w:cs="宋体"/>
          <w:sz w:val="24"/>
          <w:szCs w:val="24"/>
        </w:rPr>
        <w:t>十、 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_Toc5243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640"/>
        </w:tabs>
        <w:spacing w:line="520" w:lineRule="exact"/>
        <w:rPr>
          <w:rFonts w:ascii="宋体" w:hAnsi="宋体" w:cs="宋体"/>
          <w:sz w:val="24"/>
          <w:szCs w:val="24"/>
        </w:rPr>
      </w:pPr>
      <w:r>
        <w:fldChar w:fldCharType="begin"/>
      </w:r>
      <w:r>
        <w:instrText xml:space="preserve"> HYPERLINK \l "_Toc4676" </w:instrText>
      </w:r>
      <w:r>
        <w:fldChar w:fldCharType="separate"/>
      </w:r>
      <w:r>
        <w:rPr>
          <w:rFonts w:hint="eastAsia" w:ascii="宋体" w:hAnsi="宋体" w:cs="宋体"/>
          <w:sz w:val="24"/>
          <w:szCs w:val="24"/>
        </w:rPr>
        <w:t>第三章 供应商资格条件要求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_Toc4676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640"/>
        </w:tabs>
        <w:spacing w:line="520" w:lineRule="exact"/>
        <w:rPr>
          <w:rFonts w:ascii="宋体" w:hAnsi="宋体" w:cs="宋体"/>
          <w:sz w:val="24"/>
          <w:szCs w:val="24"/>
        </w:rPr>
      </w:pPr>
      <w:r>
        <w:fldChar w:fldCharType="begin"/>
      </w:r>
      <w:r>
        <w:instrText xml:space="preserve"> HYPERLINK \l "_Toc13949" </w:instrText>
      </w:r>
      <w:r>
        <w:fldChar w:fldCharType="separate"/>
      </w:r>
      <w:r>
        <w:rPr>
          <w:rFonts w:hint="eastAsia" w:ascii="宋体" w:hAnsi="宋体" w:cs="宋体"/>
          <w:sz w:val="24"/>
          <w:szCs w:val="24"/>
        </w:rPr>
        <w:t>第四章 供应商资格证明材料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_Toc13949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640"/>
        </w:tabs>
        <w:spacing w:line="520" w:lineRule="exact"/>
        <w:ind w:left="0" w:leftChars="0"/>
        <w:rPr>
          <w:rFonts w:ascii="宋体" w:hAnsi="宋体" w:cs="宋体"/>
          <w:sz w:val="24"/>
          <w:szCs w:val="24"/>
        </w:rPr>
      </w:pPr>
      <w:r>
        <w:fldChar w:fldCharType="begin"/>
      </w:r>
      <w:r>
        <w:instrText xml:space="preserve"> HYPERLINK \l "_Toc26051" </w:instrText>
      </w:r>
      <w:r>
        <w:fldChar w:fldCharType="separate"/>
      </w:r>
      <w:r>
        <w:rPr>
          <w:rFonts w:hint="eastAsia" w:ascii="宋体" w:hAnsi="宋体" w:cs="宋体"/>
          <w:sz w:val="24"/>
          <w:szCs w:val="24"/>
        </w:rPr>
        <w:t>第五章 采购项目技术、服务、采购合同内容条款及其他商务要求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_Toc26051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640"/>
        </w:tabs>
        <w:spacing w:line="520" w:lineRule="exact"/>
        <w:rPr>
          <w:rFonts w:ascii="宋体" w:hAnsi="宋体" w:cs="宋体"/>
          <w:sz w:val="24"/>
          <w:szCs w:val="24"/>
        </w:rPr>
      </w:pPr>
      <w:r>
        <w:fldChar w:fldCharType="begin"/>
      </w:r>
      <w:r>
        <w:instrText xml:space="preserve"> HYPERLINK \l "_Toc21751" </w:instrText>
      </w:r>
      <w:r>
        <w:fldChar w:fldCharType="separate"/>
      </w:r>
      <w:r>
        <w:rPr>
          <w:rFonts w:hint="eastAsia" w:ascii="宋体" w:hAnsi="宋体" w:cs="宋体"/>
          <w:sz w:val="24"/>
          <w:szCs w:val="24"/>
        </w:rPr>
        <w:t>第六章 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_Toc21751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640"/>
        </w:tabs>
        <w:spacing w:line="520" w:lineRule="exact"/>
        <w:rPr>
          <w:rFonts w:ascii="宋体" w:hAnsi="宋体" w:cs="宋体"/>
          <w:sz w:val="24"/>
          <w:szCs w:val="24"/>
        </w:rPr>
      </w:pPr>
      <w:r>
        <w:fldChar w:fldCharType="begin"/>
      </w:r>
      <w:r>
        <w:instrText xml:space="preserve"> HYPERLINK \l "_Toc8773" </w:instrText>
      </w:r>
      <w:r>
        <w:fldChar w:fldCharType="separate"/>
      </w:r>
      <w:r>
        <w:rPr>
          <w:rFonts w:hint="eastAsia" w:ascii="宋体" w:hAnsi="宋体" w:cs="宋体"/>
          <w:sz w:val="24"/>
          <w:szCs w:val="24"/>
        </w:rPr>
        <w:t>第七章 评审方法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_Toc8773 </w:instrText>
      </w:r>
      <w:r>
        <w:rPr>
          <w:rFonts w:hint="eastAsia" w:ascii="宋体" w:hAnsi="宋体" w:cs="宋体"/>
          <w:sz w:val="24"/>
          <w:szCs w:val="24"/>
        </w:rPr>
        <w:fldChar w:fldCharType="separate"/>
      </w:r>
      <w:r>
        <w:rPr>
          <w:rFonts w:hint="eastAsia" w:ascii="宋体" w:hAnsi="宋体" w:cs="宋体"/>
          <w:sz w:val="24"/>
          <w:szCs w:val="24"/>
        </w:rPr>
        <w:t>49</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640"/>
        </w:tabs>
        <w:spacing w:line="520" w:lineRule="exact"/>
        <w:rPr>
          <w:rFonts w:ascii="宋体" w:hAnsi="宋体" w:cs="宋体"/>
          <w:sz w:val="28"/>
          <w:szCs w:val="28"/>
        </w:rPr>
      </w:pPr>
      <w:r>
        <w:fldChar w:fldCharType="begin"/>
      </w:r>
      <w:r>
        <w:instrText xml:space="preserve"> HYPERLINK \l "_Toc1205" </w:instrText>
      </w:r>
      <w:r>
        <w:fldChar w:fldCharType="separate"/>
      </w:r>
      <w:r>
        <w:rPr>
          <w:rFonts w:hint="eastAsia" w:ascii="宋体" w:hAnsi="宋体" w:cs="宋体"/>
          <w:sz w:val="24"/>
          <w:szCs w:val="24"/>
        </w:rPr>
        <w:t>第八章 合同主要条款(仅供参考)</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_Toc1205 </w:instrText>
      </w:r>
      <w:r>
        <w:rPr>
          <w:rFonts w:hint="eastAsia" w:ascii="宋体" w:hAnsi="宋体" w:cs="宋体"/>
          <w:sz w:val="24"/>
          <w:szCs w:val="24"/>
        </w:rPr>
        <w:fldChar w:fldCharType="separate"/>
      </w:r>
      <w:r>
        <w:rPr>
          <w:rFonts w:hint="eastAsia" w:ascii="宋体" w:hAnsi="宋体" w:cs="宋体"/>
          <w:sz w:val="24"/>
          <w:szCs w:val="24"/>
        </w:rPr>
        <w:t>57</w:t>
      </w:r>
      <w:r>
        <w:rPr>
          <w:rFonts w:hint="eastAsia" w:ascii="宋体" w:hAnsi="宋体" w:cs="宋体"/>
          <w:sz w:val="24"/>
          <w:szCs w:val="24"/>
        </w:rPr>
        <w:fldChar w:fldCharType="end"/>
      </w:r>
      <w:r>
        <w:rPr>
          <w:rFonts w:hint="eastAsia" w:ascii="宋体" w:hAnsi="宋体" w:cs="宋体"/>
          <w:sz w:val="24"/>
          <w:szCs w:val="24"/>
        </w:rPr>
        <w:fldChar w:fldCharType="end"/>
      </w:r>
    </w:p>
    <w:p>
      <w:pPr>
        <w:spacing w:line="440" w:lineRule="exact"/>
        <w:jc w:val="center"/>
        <w:rPr>
          <w:rFonts w:ascii="宋体" w:hAnsi="宋体" w:cs="宋体"/>
          <w:sz w:val="28"/>
          <w:szCs w:val="28"/>
        </w:rPr>
      </w:pPr>
      <w:r>
        <w:rPr>
          <w:rFonts w:hint="eastAsia" w:ascii="宋体" w:hAnsi="宋体" w:cs="宋体"/>
          <w:sz w:val="28"/>
          <w:szCs w:val="28"/>
        </w:rPr>
        <w:fldChar w:fldCharType="end"/>
      </w:r>
    </w:p>
    <w:p>
      <w:pPr>
        <w:pStyle w:val="4"/>
        <w:rPr>
          <w:rFonts w:ascii="宋体" w:hAnsi="宋体" w:cs="宋体"/>
        </w:rPr>
        <w:sectPr>
          <w:footerReference r:id="rId9" w:type="default"/>
          <w:pgSz w:w="12240" w:h="15840"/>
          <w:pgMar w:top="1440" w:right="1800" w:bottom="1440" w:left="1800" w:header="720" w:footer="720" w:gutter="0"/>
          <w:pgNumType w:fmt="decimal" w:start="1"/>
          <w:cols w:space="720" w:num="1"/>
          <w:docGrid w:type="lines" w:linePitch="312" w:charSpace="0"/>
        </w:sectPr>
      </w:pPr>
      <w:bookmarkStart w:id="0" w:name="_Toc30911"/>
      <w:bookmarkStart w:id="1" w:name="_Toc20475"/>
    </w:p>
    <w:p>
      <w:pPr>
        <w:pStyle w:val="4"/>
        <w:rPr>
          <w:rFonts w:ascii="宋体" w:hAnsi="宋体" w:cs="宋体"/>
        </w:rPr>
      </w:pPr>
      <w:r>
        <w:rPr>
          <w:rFonts w:hint="eastAsia" w:ascii="宋体" w:hAnsi="宋体" w:cs="宋体"/>
        </w:rPr>
        <w:t>第一章 谈判邀请</w:t>
      </w:r>
      <w:bookmarkEnd w:id="0"/>
      <w:bookmarkEnd w:id="1"/>
    </w:p>
    <w:p>
      <w:pPr>
        <w:spacing w:line="440" w:lineRule="exact"/>
        <w:ind w:firstLine="480" w:firstLineChars="200"/>
        <w:jc w:val="left"/>
        <w:rPr>
          <w:rFonts w:ascii="宋体" w:hAnsi="宋体" w:cs="宋体"/>
          <w:sz w:val="24"/>
          <w:szCs w:val="24"/>
        </w:rPr>
      </w:pPr>
      <w:r>
        <w:rPr>
          <w:rFonts w:hint="eastAsia" w:ascii="宋体" w:hAnsi="宋体" w:cs="宋体"/>
          <w:sz w:val="24"/>
          <w:szCs w:val="24"/>
          <w:u w:val="single"/>
        </w:rPr>
        <w:t>四川艮鑫工程项目管理有限公司</w:t>
      </w:r>
      <w:r>
        <w:rPr>
          <w:rFonts w:hint="eastAsia" w:ascii="宋体" w:hAnsi="宋体" w:cs="宋体"/>
          <w:sz w:val="24"/>
          <w:szCs w:val="24"/>
        </w:rPr>
        <w:t>（采购代理机构）受</w:t>
      </w:r>
      <w:r>
        <w:rPr>
          <w:rFonts w:hint="eastAsia" w:ascii="宋体" w:hAnsi="宋体" w:cs="宋体"/>
          <w:sz w:val="24"/>
          <w:szCs w:val="24"/>
          <w:u w:val="single"/>
          <w:lang w:eastAsia="zh-CN"/>
        </w:rPr>
        <w:t>南充市图书馆</w:t>
      </w:r>
      <w:r>
        <w:rPr>
          <w:rFonts w:hint="eastAsia" w:ascii="宋体" w:hAnsi="宋体" w:cs="宋体"/>
          <w:sz w:val="24"/>
          <w:szCs w:val="24"/>
        </w:rPr>
        <w:t>（采购人）委托，拟对</w:t>
      </w:r>
      <w:r>
        <w:rPr>
          <w:rFonts w:hint="eastAsia" w:ascii="宋体" w:hAnsi="宋体" w:cs="宋体"/>
          <w:sz w:val="24"/>
          <w:szCs w:val="24"/>
          <w:u w:val="single"/>
          <w:lang w:eastAsia="zh-CN"/>
        </w:rPr>
        <w:t>南充市图书馆馆内墙地面空间书画及软装设计制作安装项目</w:t>
      </w:r>
      <w:r>
        <w:rPr>
          <w:rFonts w:hint="eastAsia" w:ascii="宋体" w:hAnsi="宋体" w:cs="宋体"/>
          <w:sz w:val="24"/>
          <w:szCs w:val="24"/>
        </w:rPr>
        <w:t>采用竞争性谈判方式进行采购。特邀请符合本次采购要求的供应商参加本项目的竞争性谈判。</w:t>
      </w:r>
    </w:p>
    <w:p>
      <w:pPr>
        <w:spacing w:line="44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一、采购项目名称：</w:t>
      </w:r>
      <w:r>
        <w:rPr>
          <w:rFonts w:hint="eastAsia" w:ascii="宋体" w:hAnsi="宋体" w:cs="宋体"/>
          <w:sz w:val="24"/>
          <w:szCs w:val="24"/>
          <w:lang w:eastAsia="zh-CN"/>
        </w:rPr>
        <w:t>南充市图书馆馆内墙地面空间书画及软装设计制作安装项目</w:t>
      </w:r>
    </w:p>
    <w:p>
      <w:pPr>
        <w:spacing w:line="44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二、采购项目编号：</w:t>
      </w:r>
      <w:r>
        <w:rPr>
          <w:rFonts w:hint="eastAsia" w:ascii="宋体" w:hAnsi="宋体" w:cs="宋体"/>
          <w:sz w:val="24"/>
          <w:szCs w:val="24"/>
          <w:lang w:eastAsia="zh-CN"/>
        </w:rPr>
        <w:t>2021-SCGXCG025</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三、预算金额及资金来源：本项目预算金额2</w:t>
      </w:r>
      <w:r>
        <w:rPr>
          <w:rFonts w:hint="eastAsia" w:ascii="宋体" w:hAnsi="宋体" w:cs="宋体"/>
          <w:sz w:val="24"/>
          <w:szCs w:val="24"/>
          <w:lang w:val="en-US" w:eastAsia="zh-CN"/>
        </w:rPr>
        <w:t>4</w:t>
      </w:r>
      <w:r>
        <w:rPr>
          <w:rFonts w:hint="eastAsia" w:ascii="宋体" w:hAnsi="宋体" w:cs="宋体"/>
          <w:sz w:val="24"/>
          <w:szCs w:val="24"/>
        </w:rPr>
        <w:t>万元，专项资金。</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四、采购内容：本项目为</w:t>
      </w:r>
      <w:r>
        <w:rPr>
          <w:rFonts w:hint="eastAsia" w:ascii="宋体" w:hAnsi="宋体" w:cs="宋体"/>
          <w:sz w:val="24"/>
          <w:szCs w:val="24"/>
          <w:lang w:eastAsia="zh-CN"/>
        </w:rPr>
        <w:t>南充市图书馆馆内墙地面空间书画及软装设计制作安装项目</w:t>
      </w:r>
      <w:r>
        <w:rPr>
          <w:rFonts w:hint="eastAsia" w:ascii="宋体" w:hAnsi="宋体" w:cs="宋体"/>
          <w:sz w:val="24"/>
          <w:szCs w:val="24"/>
        </w:rPr>
        <w:t>，共计一个包，具体采购内容及要求详见第五章。</w:t>
      </w:r>
    </w:p>
    <w:p>
      <w:pPr>
        <w:pStyle w:val="9"/>
        <w:ind w:firstLine="480" w:firstLineChars="200"/>
        <w:rPr>
          <w:rFonts w:ascii="宋体" w:hAnsi="宋体" w:cs="宋体"/>
          <w:sz w:val="24"/>
          <w:szCs w:val="24"/>
        </w:rPr>
      </w:pPr>
      <w:r>
        <w:rPr>
          <w:rFonts w:hint="eastAsia" w:ascii="宋体" w:hAnsi="宋体" w:cs="宋体"/>
          <w:sz w:val="24"/>
          <w:szCs w:val="24"/>
        </w:rPr>
        <w:t>五、本项目不专门面向中小企业。</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六、供应商参加本次采购活动应具备下列条件：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（一）符合《中华人民共和国政府采购法》第二十二条规定的条件：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1、具有独立承担民事责任的能力；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2、具有良好的商业信誉和健全的财务会计制度；</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3、具有履行合同所必需的设备和专业技术能力；</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4、有依法缴纳税收和社会保障资金的良好记录；</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5、参加本次采购活动前三年内，在经营活动中没有重大违法记录；</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6、法律、行政法规规定的其他条件。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7、本项目不接受联合体参加竞争性谈判。</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（二）根据采购项目提出的特殊条件：无</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七、严禁参加本次采购活动的供应商 </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1.参照《关于在政府采购活动中查询及使用信用记录有关问题的通知》（财库〔2016〕125 号）的要求，采购代理机构将通过“信用中国”网站（www.creditchina.gov.cn）、“中国政府采购网”网站（www.ccgp.gov.cn） 等渠道查询供应商在采购公告发布之日前的信用记录，拒绝列入失信被执行人名单、重大税收违法案件当事人名单、政府采购严重违法失信行为记录名单中的供应商报名参加本项目的采购活动。 </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2.为采购项目提供整体设计、规范编制或者项目管理、监理、检测等服务的供应商，不得参加本采购项目。供应商为采购人、采购代理机构在确定采购需求、编制谈判文件过程中提供咨询论证，其提供的咨询论证意见成为谈判文件中规定的供应商资格条件、技术服务商务要求、评审因素和标准、采购合同等实质性内容条款的，视同为采购项目提供规范编制。 </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3.参加本项目的供应商单位及其现任法定代表人（主要负责人）近三年内具有行贿犯罪记录；</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八、谈判文件获取方式、时间、地点、售价：</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谈判文件自</w:t>
      </w:r>
      <w:r>
        <w:rPr>
          <w:rFonts w:hint="eastAsia" w:ascii="宋体" w:hAnsi="宋体" w:cs="宋体"/>
          <w:sz w:val="24"/>
          <w:szCs w:val="24"/>
          <w:lang w:eastAsia="zh-CN"/>
        </w:rPr>
        <w:t>2021年10月</w:t>
      </w: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日至</w:t>
      </w:r>
      <w:r>
        <w:rPr>
          <w:rFonts w:hint="eastAsia" w:ascii="宋体" w:hAnsi="宋体" w:cs="宋体"/>
          <w:sz w:val="24"/>
          <w:szCs w:val="24"/>
          <w:lang w:eastAsia="zh-CN"/>
        </w:rPr>
        <w:t>2021年10月</w:t>
      </w: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日上午9:00-12:00；下午15：00-17：00（北京时间，法定节假日除外）在四川省南充市顺庆区潆华工业园二期绿地中心1号楼14层7区1423获取。</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本项目谈判文件有偿获取，谈判文件售价：人民币200元/份（谈判文件售后不退,谈判资格不能转让）。</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获取谈判文件时，经办人员当场提交以下资料：供应商为法人或者其他组织的，只需提供单位介绍信、经办人身份证明；供应商为自然人的，只需提供本人身份证明。</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九、递交响应文件截止时间：</w:t>
      </w:r>
      <w:r>
        <w:rPr>
          <w:rFonts w:hint="eastAsia" w:ascii="宋体" w:hAnsi="宋体" w:cs="宋体"/>
          <w:sz w:val="24"/>
          <w:szCs w:val="24"/>
          <w:u w:val="single"/>
          <w:lang w:eastAsia="zh-CN"/>
        </w:rPr>
        <w:t>2021年10月</w:t>
      </w:r>
      <w:r>
        <w:rPr>
          <w:rFonts w:hint="eastAsia" w:ascii="宋体" w:hAnsi="宋体" w:cs="宋体"/>
          <w:sz w:val="24"/>
          <w:szCs w:val="24"/>
          <w:u w:val="single"/>
        </w:rPr>
        <w:t>1</w:t>
      </w:r>
      <w:r>
        <w:rPr>
          <w:rFonts w:hint="eastAsia" w:ascii="宋体" w:hAnsi="宋体" w:cs="宋体"/>
          <w:sz w:val="24"/>
          <w:szCs w:val="24"/>
          <w:u w:val="single"/>
          <w:lang w:val="en-US" w:eastAsia="zh-CN"/>
        </w:rPr>
        <w:t>5</w:t>
      </w:r>
      <w:r>
        <w:rPr>
          <w:rFonts w:hint="eastAsia" w:ascii="宋体" w:hAnsi="宋体" w:cs="宋体"/>
          <w:sz w:val="24"/>
          <w:szCs w:val="24"/>
          <w:u w:val="single"/>
        </w:rPr>
        <w:t>日10:00（</w:t>
      </w:r>
      <w:r>
        <w:rPr>
          <w:rFonts w:hint="eastAsia" w:ascii="宋体" w:hAnsi="宋体" w:cs="宋体"/>
          <w:sz w:val="24"/>
          <w:szCs w:val="24"/>
        </w:rPr>
        <w:t>北京时间）。</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十、递交响应文件地点：响应文件必须在递交响应文件截止时间前送达谈判地点。逾期送达、密封和标注错误的响应文件，采购代理机构恕不接收。本次采购不接收邮寄的响应文件。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十一、谈判地点：四川省南充市顺庆区潆华工业园二期绿地中心1号楼14层7区1423。</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十二、供应商须满足以下两种要件，其响应文件才被接受：</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报名成功，竞争性谈判现场递交响应文件者须为供应商法定代表人或其委托的授权代表（供应商法定代表人递交响应文件须单独提供法定代表人身份证明书原件一份，授权代表递交响应文件须单独提供法定代表授权委托书原件一份），并在供应商签到表上签字确认。</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2、按时递交了响应文件。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十三、本谈判邀请在</w:t>
      </w:r>
      <w:r>
        <w:rPr>
          <w:rFonts w:hint="eastAsia" w:ascii="宋体" w:hAnsi="宋体" w:cs="宋体"/>
          <w:sz w:val="24"/>
          <w:szCs w:val="24"/>
          <w:lang w:eastAsia="zh-CN"/>
        </w:rPr>
        <w:t>南充市图书馆官方网站</w:t>
      </w:r>
      <w:r>
        <w:rPr>
          <w:rFonts w:hint="eastAsia" w:ascii="宋体" w:hAnsi="宋体" w:cs="宋体"/>
          <w:sz w:val="24"/>
          <w:szCs w:val="24"/>
        </w:rPr>
        <w:t>（</w:t>
      </w:r>
      <w:r>
        <w:rPr>
          <w:rFonts w:hint="eastAsia" w:ascii="宋体" w:hAnsi="宋体" w:cs="宋体"/>
          <w:sz w:val="24"/>
          <w:szCs w:val="24"/>
          <w:lang w:eastAsia="zh-CN"/>
        </w:rPr>
        <w:t>https://www.ncstsg.com</w:t>
      </w:r>
      <w:r>
        <w:rPr>
          <w:rFonts w:hint="eastAsia" w:ascii="宋体" w:hAnsi="宋体" w:cs="宋体"/>
          <w:sz w:val="24"/>
          <w:szCs w:val="24"/>
        </w:rPr>
        <w:t>）上以公告形式发布。</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十四、联系方式</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采购人：南充市图书馆</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联系人：李先生</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联系电话：13890709855</w:t>
      </w:r>
    </w:p>
    <w:p>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地    址：南充市顺庆区滨江北路2段</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采购代理机构： 四川艮鑫工程项目管理有限公司 </w:t>
      </w:r>
    </w:p>
    <w:p>
      <w:pPr>
        <w:spacing w:line="400" w:lineRule="exact"/>
        <w:ind w:left="478" w:leftChars="228"/>
        <w:rPr>
          <w:rFonts w:ascii="宋体" w:hAnsi="宋体" w:cs="宋体"/>
          <w:sz w:val="24"/>
          <w:szCs w:val="24"/>
        </w:rPr>
      </w:pPr>
      <w:r>
        <w:rPr>
          <w:rFonts w:hint="eastAsia" w:ascii="宋体" w:hAnsi="宋体" w:cs="宋体"/>
          <w:sz w:val="24"/>
          <w:szCs w:val="24"/>
        </w:rPr>
        <w:t>地    址：四川省南充市顺庆区潆华工业园二期绿地中心1号楼14层7区1423</w:t>
      </w:r>
    </w:p>
    <w:p>
      <w:pPr>
        <w:spacing w:line="400" w:lineRule="exact"/>
        <w:ind w:firstLine="480" w:firstLineChars="200"/>
        <w:rPr>
          <w:rFonts w:ascii="宋体" w:hAnsi="宋体" w:cs="宋体"/>
          <w:sz w:val="24"/>
          <w:szCs w:val="24"/>
        </w:rPr>
      </w:pPr>
      <w:r>
        <w:rPr>
          <w:rFonts w:hint="eastAsia" w:ascii="宋体" w:hAnsi="宋体" w:cs="宋体"/>
          <w:sz w:val="24"/>
          <w:szCs w:val="24"/>
        </w:rPr>
        <w:t>联 系 人：郑先生</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联系电话：18982323869    </w:t>
      </w:r>
    </w:p>
    <w:p>
      <w:pPr>
        <w:spacing w:line="400" w:lineRule="exact"/>
        <w:ind w:firstLine="480" w:firstLineChars="200"/>
        <w:rPr>
          <w:rFonts w:ascii="宋体" w:hAnsi="宋体" w:cs="宋体"/>
          <w:sz w:val="24"/>
          <w:szCs w:val="24"/>
          <w:u w:val="single"/>
        </w:rPr>
      </w:pPr>
    </w:p>
    <w:p>
      <w:bookmarkStart w:id="2" w:name="_Toc562"/>
      <w:bookmarkStart w:id="3" w:name="_Toc11807"/>
    </w:p>
    <w:p/>
    <w:p/>
    <w:p/>
    <w:p/>
    <w:p/>
    <w:p>
      <w:pPr>
        <w:rPr>
          <w:rFonts w:hint="eastAsia"/>
        </w:rPr>
      </w:pPr>
      <w:r>
        <w:rPr>
          <w:rFonts w:hint="eastAsia"/>
        </w:rPr>
        <w:br w:type="page"/>
      </w:r>
    </w:p>
    <w:p>
      <w:pPr>
        <w:pStyle w:val="4"/>
      </w:pPr>
      <w:r>
        <w:rPr>
          <w:rFonts w:hint="eastAsia"/>
        </w:rPr>
        <w:t>第二章 谈判须知</w:t>
      </w:r>
      <w:bookmarkEnd w:id="2"/>
      <w:bookmarkEnd w:id="3"/>
    </w:p>
    <w:p>
      <w:pPr>
        <w:pStyle w:val="5"/>
        <w:numPr>
          <w:ilvl w:val="0"/>
          <w:numId w:val="1"/>
        </w:numPr>
        <w:rPr>
          <w:rFonts w:ascii="宋体" w:hAnsi="宋体" w:cs="宋体"/>
        </w:rPr>
      </w:pPr>
      <w:bookmarkStart w:id="4" w:name="_Toc20849"/>
      <w:r>
        <w:rPr>
          <w:rFonts w:hint="eastAsia" w:ascii="宋体" w:hAnsi="宋体" w:cs="宋体"/>
        </w:rPr>
        <w:t>供应商须知附表</w:t>
      </w:r>
      <w:bookmarkEnd w:id="4"/>
    </w:p>
    <w:tbl>
      <w:tblPr>
        <w:tblStyle w:val="20"/>
        <w:tblW w:w="9831" w:type="dxa"/>
        <w:tblInd w:w="-42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065"/>
        <w:gridCol w:w="70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序号</w:t>
            </w: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应知事项</w:t>
            </w:r>
          </w:p>
        </w:tc>
        <w:tc>
          <w:tcPr>
            <w:tcW w:w="7051"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说明和要求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采购预算</w:t>
            </w:r>
          </w:p>
          <w:p>
            <w:pPr>
              <w:widowControl w:val="0"/>
              <w:jc w:val="center"/>
              <w:rPr>
                <w:rFonts w:ascii="宋体" w:hAnsi="宋体" w:cs="宋体"/>
                <w:sz w:val="24"/>
                <w:szCs w:val="24"/>
              </w:rPr>
            </w:pPr>
            <w:r>
              <w:rPr>
                <w:rFonts w:hint="eastAsia" w:ascii="宋体" w:hAnsi="宋体" w:cs="宋体"/>
                <w:sz w:val="24"/>
                <w:szCs w:val="24"/>
              </w:rPr>
              <w:t>（实质性要求）</w:t>
            </w:r>
          </w:p>
        </w:tc>
        <w:tc>
          <w:tcPr>
            <w:tcW w:w="7051"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采购预算：2</w:t>
            </w:r>
            <w:r>
              <w:rPr>
                <w:rFonts w:hint="eastAsia" w:ascii="宋体" w:hAnsi="宋体" w:cs="宋体"/>
                <w:sz w:val="24"/>
                <w:szCs w:val="24"/>
                <w:lang w:val="en-US" w:eastAsia="zh-CN"/>
              </w:rPr>
              <w:t>4</w:t>
            </w:r>
            <w:r>
              <w:rPr>
                <w:rFonts w:hint="eastAsia" w:ascii="宋体" w:hAnsi="宋体" w:cs="宋体"/>
                <w:sz w:val="24"/>
                <w:szCs w:val="24"/>
              </w:rPr>
              <w:t>万元；</w:t>
            </w:r>
          </w:p>
          <w:p>
            <w:pPr>
              <w:widowControl w:val="0"/>
              <w:rPr>
                <w:rFonts w:ascii="宋体" w:hAnsi="宋体" w:cs="宋体"/>
                <w:sz w:val="24"/>
                <w:szCs w:val="24"/>
              </w:rPr>
            </w:pPr>
            <w:r>
              <w:rPr>
                <w:rFonts w:hint="eastAsia" w:ascii="宋体" w:hAnsi="宋体" w:cs="宋体"/>
                <w:sz w:val="24"/>
                <w:szCs w:val="24"/>
              </w:rPr>
              <w:t>高于采购预算的报价无效。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最高限价</w:t>
            </w:r>
          </w:p>
          <w:p>
            <w:pPr>
              <w:widowControl w:val="0"/>
              <w:jc w:val="center"/>
              <w:rPr>
                <w:rFonts w:ascii="宋体" w:hAnsi="宋体" w:cs="宋体"/>
                <w:sz w:val="24"/>
                <w:szCs w:val="24"/>
              </w:rPr>
            </w:pPr>
            <w:r>
              <w:rPr>
                <w:rFonts w:hint="eastAsia" w:ascii="宋体" w:hAnsi="宋体" w:cs="宋体"/>
                <w:sz w:val="24"/>
                <w:szCs w:val="24"/>
              </w:rPr>
              <w:t>（实质性要求）</w:t>
            </w:r>
          </w:p>
        </w:tc>
        <w:tc>
          <w:tcPr>
            <w:tcW w:w="7051"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最高限价：2</w:t>
            </w:r>
            <w:r>
              <w:rPr>
                <w:rFonts w:hint="eastAsia" w:ascii="宋体" w:hAnsi="宋体" w:cs="宋体"/>
                <w:sz w:val="24"/>
                <w:szCs w:val="24"/>
                <w:lang w:val="en-US" w:eastAsia="zh-CN"/>
              </w:rPr>
              <w:t>4</w:t>
            </w:r>
            <w:r>
              <w:rPr>
                <w:rFonts w:hint="eastAsia" w:ascii="宋体" w:hAnsi="宋体" w:cs="宋体"/>
                <w:sz w:val="24"/>
                <w:szCs w:val="24"/>
              </w:rPr>
              <w:t>万元；</w:t>
            </w:r>
          </w:p>
          <w:p>
            <w:pPr>
              <w:widowControl w:val="0"/>
              <w:rPr>
                <w:rFonts w:ascii="宋体" w:hAnsi="宋体" w:cs="宋体"/>
                <w:sz w:val="24"/>
                <w:szCs w:val="24"/>
              </w:rPr>
            </w:pPr>
            <w:r>
              <w:rPr>
                <w:rFonts w:hint="eastAsia" w:ascii="宋体" w:hAnsi="宋体" w:cs="宋体"/>
                <w:sz w:val="24"/>
                <w:szCs w:val="24"/>
              </w:rPr>
              <w:t>高于最高限价的报价无效。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联合体参加竞争性谈判</w:t>
            </w:r>
          </w:p>
        </w:tc>
        <w:tc>
          <w:tcPr>
            <w:tcW w:w="7051"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本次采购不接受联合体参加竞争性谈判；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低于成本价不正</w:t>
            </w:r>
          </w:p>
          <w:p>
            <w:pPr>
              <w:widowControl w:val="0"/>
              <w:jc w:val="center"/>
              <w:rPr>
                <w:rFonts w:ascii="宋体" w:hAnsi="宋体" w:cs="宋体"/>
                <w:sz w:val="24"/>
                <w:szCs w:val="24"/>
              </w:rPr>
            </w:pPr>
            <w:r>
              <w:rPr>
                <w:rFonts w:hint="eastAsia" w:ascii="宋体" w:hAnsi="宋体" w:cs="宋体"/>
                <w:sz w:val="24"/>
                <w:szCs w:val="24"/>
              </w:rPr>
              <w:t>当竞争预防措施</w:t>
            </w:r>
          </w:p>
          <w:p>
            <w:pPr>
              <w:widowControl w:val="0"/>
              <w:jc w:val="center"/>
              <w:rPr>
                <w:rFonts w:ascii="宋体" w:hAnsi="宋体" w:cs="宋体"/>
                <w:sz w:val="24"/>
                <w:szCs w:val="24"/>
              </w:rPr>
            </w:pPr>
            <w:r>
              <w:rPr>
                <w:rFonts w:hint="eastAsia" w:ascii="宋体" w:hAnsi="宋体" w:cs="宋体"/>
                <w:sz w:val="24"/>
                <w:szCs w:val="24"/>
              </w:rPr>
              <w:t>（实质性要求）</w:t>
            </w:r>
          </w:p>
        </w:tc>
        <w:tc>
          <w:tcPr>
            <w:tcW w:w="7051" w:type="dxa"/>
            <w:tcBorders>
              <w:tl2br w:val="nil"/>
              <w:tr2bl w:val="nil"/>
            </w:tcBorders>
            <w:vAlign w:val="center"/>
          </w:tcPr>
          <w:p>
            <w:pPr>
              <w:widowControl w:val="0"/>
              <w:spacing w:line="380" w:lineRule="exact"/>
              <w:ind w:left="105" w:leftChars="50" w:right="105" w:rightChars="50" w:firstLine="240" w:firstLineChars="100"/>
              <w:rPr>
                <w:rFonts w:asciiTheme="minorEastAsia" w:hAnsiTheme="minorEastAsia" w:eastAsiaTheme="minorEastAsia" w:cstheme="minorEastAsia"/>
                <w:kern w:val="0"/>
                <w:sz w:val="24"/>
                <w:szCs w:val="24"/>
              </w:rPr>
            </w:pPr>
            <w:bookmarkStart w:id="5" w:name="PO_默认文件内容_111"/>
            <w:r>
              <w:rPr>
                <w:rFonts w:hint="eastAsia" w:asciiTheme="minorEastAsia" w:hAnsiTheme="minorEastAsia" w:eastAsiaTheme="minorEastAsia" w:cstheme="minorEastAsia"/>
                <w:kern w:val="0"/>
                <w:sz w:val="24"/>
                <w:szCs w:val="24"/>
              </w:rPr>
              <w:t>1、供应商报价低于采购预算8</w:t>
            </w:r>
            <w:r>
              <w:rPr>
                <w:rFonts w:hint="eastAsia" w:asciiTheme="minorEastAsia" w:hAnsiTheme="minorEastAsia" w:eastAsiaTheme="minorEastAsia" w:cstheme="minorEastAsia"/>
                <w:kern w:val="0"/>
                <w:sz w:val="24"/>
                <w:szCs w:val="24"/>
                <w:lang w:eastAsia="zh-CN"/>
              </w:rPr>
              <w:t>5%</w:t>
            </w:r>
            <w:r>
              <w:rPr>
                <w:rFonts w:hint="eastAsia" w:asciiTheme="minorEastAsia" w:hAnsiTheme="minorEastAsia" w:eastAsiaTheme="minorEastAsia" w:cstheme="minorEastAsia"/>
                <w:kern w:val="0"/>
                <w:sz w:val="24"/>
                <w:szCs w:val="24"/>
              </w:rPr>
              <w:t>或者低于其他有效供应商报价算术平均价90%，有可能影响工程质量或者不能诚信履约的，应当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5"/>
          </w:p>
          <w:p>
            <w:pPr>
              <w:widowControl w:val="0"/>
              <w:spacing w:line="380" w:lineRule="exact"/>
              <w:ind w:left="105" w:leftChars="50" w:right="105" w:rightChars="50" w:firstLine="240" w:firstLineChars="1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2、供应商书面说明应当签字确认或者加盖公章，否则无效。书面说明应由其法定代表人/主要负责人/本人或者其授权代表签字确认。</w:t>
            </w:r>
          </w:p>
          <w:p>
            <w:pPr>
              <w:widowControl w:val="0"/>
              <w:ind w:firstLine="480" w:firstLineChars="200"/>
              <w:rPr>
                <w:rFonts w:ascii="宋体" w:hAnsi="宋体" w:cs="宋体"/>
                <w:sz w:val="24"/>
                <w:szCs w:val="24"/>
              </w:rPr>
            </w:pPr>
            <w:r>
              <w:rPr>
                <w:rFonts w:hint="eastAsia" w:asciiTheme="minorEastAsia" w:hAnsiTheme="minorEastAsia" w:eastAsiaTheme="minorEastAsia" w:cstheme="minorEastAsia"/>
                <w:kern w:val="0"/>
                <w:sz w:val="24"/>
                <w:szCs w:val="24"/>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相关政府采购政策的执行</w:t>
            </w:r>
          </w:p>
        </w:tc>
        <w:tc>
          <w:tcPr>
            <w:tcW w:w="7051"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一、小微企业（监狱企业、残疾人福利单位视同微型企业）</w:t>
            </w:r>
          </w:p>
          <w:p>
            <w:pPr>
              <w:widowControl w:val="0"/>
              <w:rPr>
                <w:rFonts w:ascii="宋体" w:hAnsi="宋体" w:cs="宋体"/>
                <w:sz w:val="24"/>
                <w:szCs w:val="24"/>
              </w:rPr>
            </w:pPr>
            <w:r>
              <w:rPr>
                <w:rFonts w:hint="eastAsia" w:ascii="宋体" w:hAnsi="宋体" w:cs="宋体"/>
                <w:sz w:val="24"/>
                <w:szCs w:val="24"/>
              </w:rPr>
              <w:t>1、参照《政府采购促进中小企业发展管理办法》（财库〔2020〕46号）和《政府采购支持监狱企业发展有关问题的通知》（财库〔2014〕68号）的规定，对小型和微型企业产品的价格给予</w:t>
            </w:r>
            <w:r>
              <w:rPr>
                <w:rFonts w:hint="eastAsia" w:ascii="宋体" w:hAnsi="宋体" w:cs="宋体"/>
                <w:sz w:val="24"/>
                <w:szCs w:val="24"/>
                <w:lang w:eastAsia="zh-CN"/>
              </w:rPr>
              <w:t>5%</w:t>
            </w:r>
            <w:r>
              <w:rPr>
                <w:rFonts w:hint="eastAsia" w:ascii="宋体" w:hAnsi="宋体" w:cs="宋体"/>
                <w:sz w:val="24"/>
                <w:szCs w:val="24"/>
              </w:rPr>
              <w:t>的价格扣除，用扣除后的价格参与评审，监狱企业、残疾人福利性单位视同为微型企业。</w:t>
            </w:r>
          </w:p>
          <w:p>
            <w:pPr>
              <w:widowControl w:val="0"/>
              <w:rPr>
                <w:rFonts w:ascii="宋体" w:hAnsi="宋体" w:cs="宋体"/>
                <w:sz w:val="24"/>
                <w:szCs w:val="24"/>
              </w:rPr>
            </w:pPr>
            <w:r>
              <w:rPr>
                <w:rFonts w:hint="eastAsia" w:ascii="宋体" w:hAnsi="宋体" w:cs="宋体"/>
                <w:sz w:val="24"/>
                <w:szCs w:val="24"/>
              </w:rPr>
              <w:t>2、参加采购活动的中小企业应当提供《中小企业声明函》原件。监狱企业参加采购活动时，应当提供由省级或以上监狱管理局、戒毒管理局（含新疆生产建设兵团）出具的属于监狱企业的证明文件。残疾人福利性单位应当提供《残疾人福利性单位声明函》原件。</w:t>
            </w:r>
          </w:p>
          <w:p>
            <w:pPr>
              <w:widowControl w:val="0"/>
              <w:rPr>
                <w:rFonts w:ascii="宋体" w:hAnsi="宋体" w:cs="宋体"/>
                <w:sz w:val="24"/>
                <w:szCs w:val="24"/>
              </w:rPr>
            </w:pPr>
            <w:r>
              <w:rPr>
                <w:rFonts w:hint="eastAsia" w:ascii="宋体" w:hAnsi="宋体" w:cs="宋体"/>
                <w:sz w:val="24"/>
                <w:szCs w:val="24"/>
              </w:rPr>
              <w:t>二、失信企业报价加成或者扣分</w:t>
            </w:r>
          </w:p>
          <w:p>
            <w:pPr>
              <w:widowControl w:val="0"/>
              <w:rPr>
                <w:rFonts w:ascii="宋体" w:hAnsi="宋体" w:cs="宋体"/>
                <w:sz w:val="24"/>
                <w:szCs w:val="24"/>
              </w:rPr>
            </w:pPr>
            <w:r>
              <w:rPr>
                <w:rFonts w:hint="eastAsia" w:ascii="宋体" w:hAnsi="宋体" w:cs="宋体"/>
                <w:sz w:val="24"/>
                <w:szCs w:val="24"/>
              </w:rPr>
              <w:t>1.对记入诚信档案且在有效期内的失信供应商，参加采购活动按照10%的报价加成，以加成后报价作为该供应商报价参与评审。供应商失信行为惩戒实行无限制累加制，因其失信行为进行报价加成惩戒后报价超过采购预算的，其响应文件按照无效处理。</w:t>
            </w:r>
          </w:p>
          <w:p>
            <w:pPr>
              <w:widowControl w:val="0"/>
              <w:rPr>
                <w:rFonts w:ascii="宋体" w:hAnsi="宋体" w:cs="宋体"/>
                <w:sz w:val="24"/>
                <w:szCs w:val="24"/>
                <w:lang w:val="zh-CN"/>
              </w:rPr>
            </w:pPr>
            <w:r>
              <w:rPr>
                <w:rFonts w:hint="eastAsia" w:ascii="宋体" w:hAnsi="宋体" w:cs="宋体"/>
                <w:sz w:val="24"/>
                <w:szCs w:val="24"/>
              </w:rPr>
              <w:t>2.供应商参加采购活动时，应当就自己的诚信情况在响应文件中进行承诺。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谈判情况公告</w:t>
            </w:r>
          </w:p>
        </w:tc>
        <w:tc>
          <w:tcPr>
            <w:tcW w:w="7051" w:type="dxa"/>
            <w:tcBorders>
              <w:tl2br w:val="nil"/>
              <w:tr2bl w:val="nil"/>
            </w:tcBorders>
            <w:vAlign w:val="center"/>
          </w:tcPr>
          <w:p>
            <w:pPr>
              <w:widowControl w:val="0"/>
              <w:ind w:firstLine="480" w:firstLineChars="200"/>
              <w:rPr>
                <w:rFonts w:ascii="宋体" w:hAnsi="宋体" w:cs="宋体"/>
                <w:sz w:val="24"/>
                <w:szCs w:val="24"/>
              </w:rPr>
            </w:pPr>
            <w:r>
              <w:rPr>
                <w:rFonts w:hint="eastAsia" w:ascii="宋体" w:hAnsi="宋体" w:cs="宋体"/>
                <w:sz w:val="24"/>
                <w:szCs w:val="24"/>
              </w:rPr>
              <w:t>供应商资格审查情况、谈判情况、报价情况、谈判结果等在</w:t>
            </w:r>
            <w:r>
              <w:rPr>
                <w:rFonts w:hint="eastAsia" w:ascii="宋体" w:hAnsi="宋体" w:cs="宋体"/>
                <w:sz w:val="24"/>
                <w:szCs w:val="24"/>
                <w:lang w:eastAsia="zh-CN"/>
              </w:rPr>
              <w:t>南充市图书馆官方网站</w:t>
            </w:r>
            <w:r>
              <w:rPr>
                <w:rFonts w:hint="eastAsia" w:ascii="宋体" w:hAnsi="宋体" w:cs="宋体"/>
                <w:sz w:val="24"/>
                <w:szCs w:val="24"/>
              </w:rPr>
              <w:t>结果公告栏中予以公告。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谈判保证金</w:t>
            </w:r>
          </w:p>
        </w:tc>
        <w:tc>
          <w:tcPr>
            <w:tcW w:w="7051" w:type="dxa"/>
            <w:tcBorders>
              <w:tl2br w:val="nil"/>
              <w:tr2bl w:val="nil"/>
            </w:tcBorders>
            <w:vAlign w:val="center"/>
          </w:tcPr>
          <w:p>
            <w:pPr>
              <w:widowControl w:val="0"/>
              <w:autoSpaceDE w:val="0"/>
              <w:autoSpaceDN w:val="0"/>
              <w:ind w:firstLine="210"/>
              <w:jc w:val="left"/>
              <w:rPr>
                <w:rFonts w:ascii="宋体" w:hAnsi="宋体" w:cs="宋体"/>
                <w:sz w:val="24"/>
                <w:szCs w:val="24"/>
              </w:rPr>
            </w:pPr>
            <w:r>
              <w:rPr>
                <w:rFonts w:hint="eastAsia" w:cs="宋体"/>
                <w:sz w:val="24"/>
                <w:szCs w:val="24"/>
              </w:rPr>
              <w:t>参照</w:t>
            </w:r>
            <w:r>
              <w:rPr>
                <w:rFonts w:hint="eastAsia" w:ascii="宋体" w:hAnsi="宋体" w:cs="宋体"/>
                <w:sz w:val="24"/>
                <w:szCs w:val="24"/>
              </w:rPr>
              <w:t>《四川省财政厅关于进一步做好疫情防控期间政府采购工作有关事项的通知》（川财采〔2020〕28号)文件精神，本项目不收取谈判保证金。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履约保证金</w:t>
            </w:r>
          </w:p>
        </w:tc>
        <w:tc>
          <w:tcPr>
            <w:tcW w:w="7051" w:type="dxa"/>
            <w:tcBorders>
              <w:tl2br w:val="nil"/>
              <w:tr2bl w:val="nil"/>
            </w:tcBorders>
            <w:vAlign w:val="center"/>
          </w:tcPr>
          <w:p>
            <w:pPr>
              <w:pStyle w:val="30"/>
              <w:ind w:firstLine="240" w:firstLineChars="100"/>
              <w:jc w:val="both"/>
            </w:pPr>
            <w:r>
              <w:rPr>
                <w:rFonts w:hint="eastAsia"/>
              </w:rPr>
              <w:t>参照《四川省财政厅关于进一步做好疫情防控期间政府采购工作有关事项的通知》（川财采〔2020〕28号)文件精神，本项目不收取履约保证金。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highlight w:val="red"/>
              </w:rPr>
            </w:pPr>
          </w:p>
        </w:tc>
        <w:tc>
          <w:tcPr>
            <w:tcW w:w="2065" w:type="dxa"/>
            <w:tcBorders>
              <w:tl2br w:val="nil"/>
              <w:tr2bl w:val="nil"/>
            </w:tcBorders>
            <w:vAlign w:val="center"/>
          </w:tcPr>
          <w:p>
            <w:pPr>
              <w:widowControl w:val="0"/>
              <w:jc w:val="center"/>
              <w:rPr>
                <w:rFonts w:ascii="宋体" w:hAnsi="宋体" w:cs="宋体"/>
                <w:sz w:val="24"/>
                <w:szCs w:val="24"/>
                <w:highlight w:val="red"/>
              </w:rPr>
            </w:pPr>
            <w:r>
              <w:rPr>
                <w:rFonts w:hint="eastAsia" w:ascii="宋体" w:hAnsi="宋体" w:cs="宋体"/>
                <w:sz w:val="24"/>
                <w:szCs w:val="24"/>
                <w:highlight w:val="red"/>
              </w:rPr>
              <w:t>谈判文件数量</w:t>
            </w:r>
          </w:p>
        </w:tc>
        <w:tc>
          <w:tcPr>
            <w:tcW w:w="7051" w:type="dxa"/>
            <w:tcBorders>
              <w:tl2br w:val="nil"/>
              <w:tr2bl w:val="nil"/>
            </w:tcBorders>
            <w:vAlign w:val="center"/>
          </w:tcPr>
          <w:p>
            <w:pPr>
              <w:widowControl w:val="0"/>
              <w:rPr>
                <w:rFonts w:ascii="宋体" w:hAnsi="宋体" w:cs="宋体"/>
                <w:sz w:val="24"/>
                <w:szCs w:val="24"/>
                <w:highlight w:val="red"/>
                <w:lang w:val="zh-CN"/>
              </w:rPr>
            </w:pPr>
            <w:r>
              <w:rPr>
                <w:rFonts w:hint="eastAsia" w:ascii="宋体" w:hAnsi="宋体" w:cs="宋体"/>
                <w:sz w:val="24"/>
                <w:szCs w:val="24"/>
                <w:highlight w:val="red"/>
                <w:lang w:val="zh-CN"/>
              </w:rPr>
              <w:t>“资格性响应文件”正本1份，副本2份；“其他响应文件”（含报价、商务、技术及其他部分）正本1份，副本2份</w:t>
            </w:r>
            <w:r>
              <w:rPr>
                <w:rFonts w:hint="eastAsia" w:ascii="宋体" w:hAnsi="宋体" w:cs="宋体"/>
                <w:sz w:val="24"/>
                <w:szCs w:val="24"/>
                <w:highlight w:val="red"/>
              </w:rPr>
              <w:t>；电子文档1份。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投标有效期</w:t>
            </w:r>
          </w:p>
        </w:tc>
        <w:tc>
          <w:tcPr>
            <w:tcW w:w="7051"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本项目投标有效期为从提交响应文件的截止之日起90天。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谈判文件咨询</w:t>
            </w:r>
          </w:p>
        </w:tc>
        <w:tc>
          <w:tcPr>
            <w:tcW w:w="7051"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联系人：郑先生</w:t>
            </w:r>
          </w:p>
          <w:p>
            <w:pPr>
              <w:widowControl w:val="0"/>
              <w:rPr>
                <w:rFonts w:ascii="宋体" w:hAnsi="宋体" w:cs="宋体"/>
                <w:sz w:val="24"/>
                <w:szCs w:val="24"/>
              </w:rPr>
            </w:pPr>
            <w:r>
              <w:rPr>
                <w:rFonts w:hint="eastAsia" w:ascii="宋体" w:hAnsi="宋体" w:cs="宋体"/>
                <w:sz w:val="24"/>
                <w:szCs w:val="24"/>
              </w:rPr>
              <w:t>联系电话：18982323869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谈判过程、结果工作咨询</w:t>
            </w:r>
          </w:p>
        </w:tc>
        <w:tc>
          <w:tcPr>
            <w:tcW w:w="7051"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联系人：郑先生</w:t>
            </w:r>
          </w:p>
          <w:p>
            <w:pPr>
              <w:widowControl w:val="0"/>
              <w:rPr>
                <w:rFonts w:ascii="宋体" w:hAnsi="宋体" w:cs="宋体"/>
                <w:sz w:val="24"/>
                <w:szCs w:val="24"/>
              </w:rPr>
            </w:pPr>
            <w:r>
              <w:rPr>
                <w:rFonts w:hint="eastAsia" w:ascii="宋体" w:hAnsi="宋体" w:cs="宋体"/>
                <w:sz w:val="24"/>
                <w:szCs w:val="24"/>
              </w:rPr>
              <w:t>联系电话：18982323869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jc w:val="center"/>
              <w:rPr>
                <w:rFonts w:ascii="宋体" w:hAnsi="宋体" w:cs="宋体"/>
                <w:sz w:val="24"/>
                <w:szCs w:val="24"/>
              </w:rPr>
            </w:pPr>
            <w:r>
              <w:rPr>
                <w:rFonts w:hint="eastAsia" w:ascii="宋体" w:hAnsi="宋体" w:cs="宋体"/>
                <w:sz w:val="24"/>
                <w:szCs w:val="24"/>
              </w:rPr>
              <w:t>成交通知书领取</w:t>
            </w:r>
          </w:p>
        </w:tc>
        <w:tc>
          <w:tcPr>
            <w:tcW w:w="7051"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请成交供应商凭有效身份证明证件到四川省南充市顺庆区潆华工业园二期绿地中心1号楼14层7区1423领取成交通知书。</w:t>
            </w:r>
          </w:p>
          <w:p>
            <w:pPr>
              <w:widowControl w:val="0"/>
              <w:rPr>
                <w:rFonts w:ascii="宋体" w:hAnsi="宋体" w:cs="宋体"/>
                <w:sz w:val="24"/>
                <w:szCs w:val="24"/>
              </w:rPr>
            </w:pPr>
            <w:r>
              <w:rPr>
                <w:rFonts w:hint="eastAsia" w:ascii="宋体" w:hAnsi="宋体" w:cs="宋体"/>
                <w:sz w:val="24"/>
                <w:szCs w:val="24"/>
              </w:rPr>
              <w:t>联系人：郑先生</w:t>
            </w:r>
          </w:p>
          <w:p>
            <w:pPr>
              <w:widowControl w:val="0"/>
              <w:rPr>
                <w:rFonts w:ascii="宋体" w:hAnsi="宋体" w:cs="宋体"/>
                <w:sz w:val="24"/>
                <w:szCs w:val="24"/>
              </w:rPr>
            </w:pPr>
            <w:r>
              <w:rPr>
                <w:rFonts w:hint="eastAsia" w:ascii="宋体" w:hAnsi="宋体" w:cs="宋体"/>
                <w:sz w:val="24"/>
                <w:szCs w:val="24"/>
              </w:rPr>
              <w:t>联系电话：18982323869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供应商询问</w:t>
            </w:r>
          </w:p>
        </w:tc>
        <w:tc>
          <w:tcPr>
            <w:tcW w:w="7051" w:type="dxa"/>
            <w:tcBorders>
              <w:tl2br w:val="nil"/>
              <w:tr2bl w:val="nil"/>
            </w:tcBorders>
            <w:vAlign w:val="center"/>
          </w:tcPr>
          <w:p>
            <w:pPr>
              <w:widowControl w:val="0"/>
              <w:rPr>
                <w:rFonts w:ascii="宋体" w:hAnsi="宋体" w:cs="宋体"/>
                <w:sz w:val="24"/>
                <w:szCs w:val="24"/>
                <w:lang w:val="zh-CN"/>
              </w:rPr>
            </w:pPr>
            <w:r>
              <w:rPr>
                <w:rFonts w:hint="eastAsia" w:ascii="宋体" w:hAnsi="宋体" w:cs="宋体"/>
                <w:sz w:val="24"/>
                <w:szCs w:val="24"/>
                <w:lang w:val="zh-CN"/>
              </w:rPr>
              <w:t>根据委托代理协议约定，对于采购文件（谈判文件技术条款和除政府采购法第二十二条规定的条件之外的资格条件要求、商务要求）的询问由采购人负责答复；对于采购过程、采购结果的询问由四川艮鑫工程项目管理有限公司负责答复。</w:t>
            </w:r>
          </w:p>
          <w:p>
            <w:pPr>
              <w:widowControl w:val="0"/>
              <w:rPr>
                <w:rFonts w:ascii="宋体" w:hAnsi="宋体" w:cs="宋体"/>
                <w:sz w:val="24"/>
                <w:szCs w:val="24"/>
              </w:rPr>
            </w:pPr>
            <w:r>
              <w:rPr>
                <w:rFonts w:hint="eastAsia" w:ascii="宋体" w:hAnsi="宋体" w:cs="宋体"/>
                <w:sz w:val="24"/>
                <w:szCs w:val="24"/>
              </w:rPr>
              <w:t>联系人：郑先生</w:t>
            </w:r>
          </w:p>
          <w:p>
            <w:pPr>
              <w:widowControl w:val="0"/>
              <w:rPr>
                <w:rFonts w:ascii="宋体" w:hAnsi="宋体" w:cs="宋体"/>
                <w:sz w:val="24"/>
                <w:szCs w:val="24"/>
              </w:rPr>
            </w:pPr>
            <w:r>
              <w:rPr>
                <w:rFonts w:hint="eastAsia" w:ascii="宋体" w:hAnsi="宋体" w:cs="宋体"/>
                <w:sz w:val="24"/>
                <w:szCs w:val="24"/>
              </w:rPr>
              <w:t>联系电话：18982323869</w:t>
            </w:r>
          </w:p>
          <w:p>
            <w:pPr>
              <w:widowControl w:val="0"/>
              <w:rPr>
                <w:rFonts w:ascii="宋体" w:hAnsi="宋体" w:cs="宋体"/>
                <w:sz w:val="24"/>
                <w:szCs w:val="24"/>
              </w:rPr>
            </w:pPr>
            <w:r>
              <w:rPr>
                <w:rFonts w:hint="eastAsia" w:ascii="宋体" w:hAnsi="宋体" w:cs="宋体"/>
                <w:sz w:val="24"/>
                <w:szCs w:val="24"/>
              </w:rPr>
              <w:t>地址：四川省南充市顺庆区潆华工业园二期绿地中心1号楼14层7区1423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jc w:val="right"/>
              <w:rPr>
                <w:rFonts w:ascii="宋体" w:hAnsi="宋体" w:cs="宋体"/>
                <w:sz w:val="24"/>
                <w:szCs w:val="24"/>
              </w:rPr>
            </w:pPr>
          </w:p>
        </w:tc>
        <w:tc>
          <w:tcPr>
            <w:tcW w:w="2065" w:type="dxa"/>
            <w:tcBorders>
              <w:tl2br w:val="nil"/>
              <w:tr2bl w:val="nil"/>
            </w:tcBorders>
            <w:vAlign w:val="center"/>
          </w:tcPr>
          <w:p>
            <w:pPr>
              <w:widowControl w:val="0"/>
              <w:rPr>
                <w:rFonts w:ascii="宋体" w:hAnsi="宋体" w:cs="宋体"/>
                <w:sz w:val="24"/>
                <w:szCs w:val="24"/>
              </w:rPr>
            </w:pPr>
            <w:r>
              <w:rPr>
                <w:rFonts w:hint="eastAsia" w:ascii="宋体" w:hAnsi="宋体" w:cs="宋体"/>
                <w:sz w:val="24"/>
                <w:szCs w:val="24"/>
              </w:rPr>
              <w:t>供应商质疑</w:t>
            </w:r>
          </w:p>
        </w:tc>
        <w:tc>
          <w:tcPr>
            <w:tcW w:w="7051" w:type="dxa"/>
            <w:tcBorders>
              <w:tl2br w:val="nil"/>
              <w:tr2bl w:val="nil"/>
            </w:tcBorders>
            <w:vAlign w:val="center"/>
          </w:tcPr>
          <w:p>
            <w:pPr>
              <w:widowControl w:val="0"/>
              <w:rPr>
                <w:rFonts w:ascii="宋体" w:hAnsi="宋体" w:cs="宋体"/>
                <w:sz w:val="24"/>
                <w:szCs w:val="24"/>
                <w:lang w:val="zh-CN"/>
              </w:rPr>
            </w:pPr>
            <w:r>
              <w:rPr>
                <w:rFonts w:hint="eastAsia" w:ascii="宋体" w:hAnsi="宋体" w:cs="宋体"/>
                <w:sz w:val="24"/>
                <w:szCs w:val="24"/>
                <w:lang w:val="zh-CN"/>
              </w:rPr>
              <w:t>根据委托代理协议约定，对于采购文件（谈判文件技术条款和除政府采购法第二十二条规定的条件之外的资格条件要求、商务要求）的质疑由采购人负责答复；对于采购过程、采购结果的质疑由四川艮鑫工程项目管理有限公司负责答复。</w:t>
            </w:r>
          </w:p>
          <w:p>
            <w:pPr>
              <w:widowControl w:val="0"/>
              <w:rPr>
                <w:rFonts w:ascii="宋体" w:hAnsi="宋体" w:cs="宋体"/>
                <w:sz w:val="24"/>
                <w:szCs w:val="24"/>
                <w:lang w:val="zh-CN"/>
              </w:rPr>
            </w:pPr>
            <w:r>
              <w:rPr>
                <w:rFonts w:hint="eastAsia" w:ascii="宋体" w:hAnsi="宋体" w:cs="宋体"/>
                <w:sz w:val="24"/>
                <w:szCs w:val="24"/>
                <w:lang w:val="zh-CN"/>
              </w:rPr>
              <w:t>供应商提出质疑应当坚持依法依规、诚实信用原则，不得超出采购文件、采购过程、采购结果的范围，不得进行虚假、恶意质疑。</w:t>
            </w:r>
          </w:p>
          <w:p>
            <w:pPr>
              <w:widowControl w:val="0"/>
              <w:rPr>
                <w:rFonts w:ascii="宋体" w:hAnsi="宋体" w:cs="宋体"/>
                <w:sz w:val="24"/>
                <w:szCs w:val="24"/>
                <w:lang w:val="zh-CN"/>
              </w:rPr>
            </w:pPr>
            <w:r>
              <w:rPr>
                <w:rFonts w:hint="eastAsia" w:ascii="宋体" w:hAnsi="宋体" w:cs="宋体"/>
                <w:sz w:val="24"/>
                <w:szCs w:val="24"/>
                <w:lang w:val="zh-CN"/>
              </w:rPr>
              <w:t>提出质疑函的时限要求：供应商认为采购文件、采购过程、中标或者成交结果使自己的权益受到损害的，可以在知道或者应知其权益受到损害之日起</w:t>
            </w:r>
            <w:r>
              <w:rPr>
                <w:rFonts w:hint="eastAsia" w:ascii="宋体" w:hAnsi="宋体" w:cs="宋体"/>
                <w:sz w:val="24"/>
                <w:szCs w:val="24"/>
              </w:rPr>
              <w:t>7</w:t>
            </w:r>
            <w:r>
              <w:rPr>
                <w:rFonts w:hint="eastAsia" w:ascii="宋体" w:hAnsi="宋体" w:cs="宋体"/>
                <w:sz w:val="24"/>
                <w:szCs w:val="24"/>
                <w:lang w:val="zh-CN"/>
              </w:rPr>
              <w:t>个工作日内以书面形式向采购人、采购代理机构提出质疑。</w:t>
            </w:r>
          </w:p>
          <w:p>
            <w:pPr>
              <w:widowControl w:val="0"/>
              <w:rPr>
                <w:rFonts w:ascii="宋体" w:hAnsi="宋体" w:cs="宋体"/>
                <w:sz w:val="24"/>
                <w:szCs w:val="24"/>
                <w:lang w:val="zh-CN"/>
              </w:rPr>
            </w:pPr>
            <w:r>
              <w:rPr>
                <w:rFonts w:hint="eastAsia" w:ascii="宋体" w:hAnsi="宋体" w:cs="宋体"/>
                <w:sz w:val="24"/>
                <w:szCs w:val="24"/>
                <w:lang w:val="zh-CN"/>
              </w:rPr>
              <w:t>接收质疑函的方式：供应商在法定时间内以书面形式现场、邮寄或快递提交质疑函：</w:t>
            </w:r>
            <w:r>
              <w:rPr>
                <w:rFonts w:ascii="宋体" w:hAnsi="宋体" w:cs="宋体"/>
                <w:sz w:val="24"/>
                <w:szCs w:val="24"/>
                <w:lang w:val="zh-CN"/>
              </w:rPr>
              <w:t>①</w:t>
            </w:r>
            <w:r>
              <w:rPr>
                <w:rFonts w:hint="eastAsia" w:ascii="宋体" w:hAnsi="宋体" w:cs="宋体"/>
                <w:sz w:val="24"/>
                <w:szCs w:val="24"/>
                <w:lang w:val="zh-CN"/>
              </w:rPr>
              <w:t>采用邮寄和快递形式提交的质疑函以采购代理机构或采购人亲自书面签收的为准。</w:t>
            </w:r>
            <w:r>
              <w:rPr>
                <w:rFonts w:ascii="宋体" w:hAnsi="宋体" w:cs="宋体"/>
                <w:sz w:val="24"/>
                <w:szCs w:val="24"/>
                <w:lang w:val="zh-CN"/>
              </w:rPr>
              <w:t>②</w:t>
            </w:r>
            <w:r>
              <w:rPr>
                <w:rFonts w:hint="eastAsia" w:ascii="宋体" w:hAnsi="宋体" w:cs="宋体"/>
                <w:sz w:val="24"/>
                <w:szCs w:val="24"/>
                <w:lang w:val="zh-CN"/>
              </w:rPr>
              <w:t>收到质疑函后，进行质疑处理时：书面形式现场提交的以书面签收的日期为准，邮寄以寄出的邮戳日期为准；</w:t>
            </w:r>
            <w:r>
              <w:rPr>
                <w:rFonts w:ascii="宋体" w:hAnsi="宋体" w:cs="宋体"/>
                <w:sz w:val="24"/>
                <w:szCs w:val="24"/>
                <w:lang w:val="zh-CN"/>
              </w:rPr>
              <w:t>③</w:t>
            </w:r>
            <w:r>
              <w:rPr>
                <w:rFonts w:hint="eastAsia" w:ascii="宋体" w:hAnsi="宋体" w:cs="宋体"/>
                <w:sz w:val="24"/>
                <w:szCs w:val="24"/>
                <w:lang w:val="zh-CN"/>
              </w:rPr>
              <w:t>温馨提示：质疑供应商在质疑函签收后</w:t>
            </w:r>
            <w:r>
              <w:rPr>
                <w:rFonts w:hint="eastAsia" w:ascii="宋体" w:hAnsi="宋体" w:cs="宋体"/>
                <w:sz w:val="24"/>
                <w:szCs w:val="24"/>
              </w:rPr>
              <w:t>5个工作日内未收到质疑答复的，可主动电话询问采购代理机构相关事宜。</w:t>
            </w:r>
          </w:p>
          <w:p>
            <w:pPr>
              <w:widowControl w:val="0"/>
              <w:rPr>
                <w:rFonts w:ascii="宋体" w:hAnsi="宋体" w:cs="宋体"/>
                <w:sz w:val="24"/>
                <w:szCs w:val="24"/>
                <w:lang w:val="zh-CN"/>
              </w:rPr>
            </w:pPr>
            <w:r>
              <w:rPr>
                <w:rFonts w:hint="eastAsia" w:ascii="宋体" w:hAnsi="宋体" w:cs="宋体"/>
                <w:sz w:val="24"/>
                <w:szCs w:val="24"/>
                <w:lang w:val="zh-CN"/>
              </w:rPr>
              <w:t>联 系 人：郑先生</w:t>
            </w:r>
          </w:p>
          <w:p>
            <w:pPr>
              <w:widowControl w:val="0"/>
              <w:rPr>
                <w:rFonts w:ascii="宋体" w:hAnsi="宋体" w:cs="宋体"/>
                <w:sz w:val="24"/>
                <w:szCs w:val="24"/>
                <w:lang w:val="zh-CN"/>
              </w:rPr>
            </w:pPr>
            <w:r>
              <w:rPr>
                <w:rFonts w:hint="eastAsia" w:ascii="宋体" w:hAnsi="宋体" w:cs="宋体"/>
                <w:sz w:val="24"/>
                <w:szCs w:val="24"/>
                <w:lang w:val="zh-CN"/>
              </w:rPr>
              <w:t>联系电话：18982323869</w:t>
            </w:r>
          </w:p>
          <w:p>
            <w:pPr>
              <w:widowControl w:val="0"/>
              <w:rPr>
                <w:rFonts w:ascii="宋体" w:hAnsi="宋体" w:cs="宋体"/>
                <w:sz w:val="24"/>
                <w:szCs w:val="24"/>
                <w:lang w:val="zh-CN"/>
              </w:rPr>
            </w:pPr>
            <w:r>
              <w:rPr>
                <w:rFonts w:hint="eastAsia" w:ascii="宋体" w:hAnsi="宋体" w:cs="宋体"/>
                <w:sz w:val="24"/>
                <w:szCs w:val="24"/>
                <w:lang w:val="zh-CN"/>
              </w:rPr>
              <w:t>联系地址：四川省南充市顺庆区潆华工业园二期绿地中心1号楼14层7区1423。</w:t>
            </w:r>
          </w:p>
          <w:p>
            <w:pPr>
              <w:widowControl w:val="0"/>
              <w:rPr>
                <w:rFonts w:ascii="宋体" w:hAnsi="宋体" w:cs="宋体"/>
                <w:sz w:val="24"/>
                <w:szCs w:val="24"/>
                <w:lang w:val="zh-CN"/>
              </w:rPr>
            </w:pPr>
            <w:r>
              <w:rPr>
                <w:rFonts w:hint="eastAsia" w:ascii="宋体" w:hAnsi="宋体" w:cs="宋体"/>
                <w:sz w:val="24"/>
                <w:szCs w:val="24"/>
                <w:lang w:val="zh-CN"/>
              </w:rPr>
              <w:t>注：</w:t>
            </w:r>
            <w:r>
              <w:rPr>
                <w:rFonts w:hint="eastAsia" w:ascii="宋体" w:hAnsi="宋体" w:cs="宋体"/>
                <w:sz w:val="24"/>
                <w:szCs w:val="24"/>
              </w:rPr>
              <w:t>1、供应商应当在法定质疑期内一次性提出针对同一采购程序环节的质疑</w:t>
            </w:r>
            <w:r>
              <w:rPr>
                <w:rFonts w:hint="eastAsia" w:ascii="宋体" w:hAnsi="宋体" w:cs="宋体"/>
                <w:sz w:val="24"/>
                <w:szCs w:val="24"/>
                <w:lang w:val="zh-CN"/>
              </w:rPr>
              <w:t>；</w:t>
            </w:r>
          </w:p>
          <w:p>
            <w:pPr>
              <w:widowControl w:val="0"/>
              <w:rPr>
                <w:rFonts w:ascii="宋体" w:hAnsi="宋体" w:cs="宋体"/>
                <w:sz w:val="24"/>
                <w:szCs w:val="24"/>
                <w:lang w:val="zh-CN"/>
              </w:rPr>
            </w:pPr>
            <w:r>
              <w:rPr>
                <w:rFonts w:hint="eastAsia" w:ascii="宋体" w:hAnsi="宋体" w:cs="宋体"/>
                <w:sz w:val="24"/>
                <w:szCs w:val="24"/>
                <w:lang w:val="zh-CN"/>
              </w:rPr>
              <w:t>参照《中华人民共和国政府采购法》的规定，供应商质疑应当有明确的请求和必要的证明材料，须符合《政府采购质疑和投诉办法》（财政部第</w:t>
            </w:r>
            <w:r>
              <w:rPr>
                <w:rFonts w:hint="eastAsia" w:ascii="宋体" w:hAnsi="宋体" w:cs="宋体"/>
                <w:sz w:val="24"/>
                <w:szCs w:val="24"/>
              </w:rPr>
              <w:t>94号令</w:t>
            </w:r>
            <w:r>
              <w:rPr>
                <w:rFonts w:hint="eastAsia" w:ascii="宋体" w:hAnsi="宋体" w:cs="宋体"/>
                <w:sz w:val="24"/>
                <w:szCs w:val="24"/>
                <w:lang w:val="zh-CN"/>
              </w:rPr>
              <w:t>）规定，并使用财政部下发的《质疑函》范本。</w:t>
            </w:r>
          </w:p>
          <w:p>
            <w:pPr>
              <w:widowControl w:val="0"/>
              <w:rPr>
                <w:rFonts w:ascii="宋体" w:hAnsi="宋体" w:cs="宋体"/>
                <w:sz w:val="24"/>
                <w:szCs w:val="24"/>
                <w:lang w:val="zh-CN"/>
              </w:rPr>
            </w:pPr>
            <w:r>
              <w:rPr>
                <w:rFonts w:hint="eastAsia" w:ascii="宋体" w:hAnsi="宋体" w:cs="宋体"/>
                <w:sz w:val="24"/>
                <w:szCs w:val="24"/>
                <w:lang w:val="zh-CN"/>
              </w:rPr>
              <w:t>明确的请求是指：供应商对采购文件还是对采购过程还是对中标、成交结果提出质疑；想要达到的结果；</w:t>
            </w:r>
          </w:p>
          <w:p>
            <w:pPr>
              <w:widowControl w:val="0"/>
              <w:rPr>
                <w:rFonts w:ascii="宋体" w:hAnsi="宋体" w:cs="宋体"/>
                <w:sz w:val="24"/>
                <w:szCs w:val="24"/>
                <w:lang w:val="zh-CN"/>
              </w:rPr>
            </w:pPr>
            <w:r>
              <w:rPr>
                <w:rFonts w:hint="eastAsia" w:ascii="宋体" w:hAnsi="宋体" w:cs="宋体"/>
                <w:sz w:val="24"/>
                <w:szCs w:val="24"/>
                <w:lang w:val="zh-CN"/>
              </w:rPr>
              <w:t>必要的证明材料是指：包含供应商的营业执照、授权委托书（法定代表人质疑时无需提供）、委托代理人身份证明、参加采购项目的证明、权益受到损害的证明材料、证明提出质疑的事实存在的材料等。</w:t>
            </w:r>
          </w:p>
          <w:p>
            <w:pPr>
              <w:widowControl w:val="0"/>
              <w:rPr>
                <w:rFonts w:ascii="宋体" w:hAnsi="宋体" w:cs="宋体"/>
                <w:sz w:val="24"/>
                <w:szCs w:val="24"/>
              </w:rPr>
            </w:pPr>
            <w:r>
              <w:rPr>
                <w:rFonts w:hint="eastAsia" w:ascii="宋体" w:hAnsi="宋体" w:cs="宋体"/>
                <w:sz w:val="24"/>
                <w:szCs w:val="24"/>
              </w:rPr>
              <w:t>3、如因供应商提出的质疑函不符合《政府采购质疑和投诉办法》（财政部令第94号）第十二条的要求，四川艮鑫工程项目管理有限公司将要求供应商在法定质疑期内进行质疑函补正，在法定质疑期内未进行补正的，其所有不利后果由供应商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spacing w:line="338" w:lineRule="exact"/>
              <w:jc w:val="right"/>
              <w:rPr>
                <w:rFonts w:ascii="宋体" w:hAnsi="宋体" w:cs="宋体"/>
                <w:sz w:val="24"/>
                <w:szCs w:val="24"/>
              </w:rPr>
            </w:pPr>
          </w:p>
        </w:tc>
        <w:tc>
          <w:tcPr>
            <w:tcW w:w="2065" w:type="dxa"/>
            <w:tcBorders>
              <w:tl2br w:val="nil"/>
              <w:tr2bl w:val="nil"/>
            </w:tcBorders>
            <w:vAlign w:val="center"/>
          </w:tcPr>
          <w:p>
            <w:pPr>
              <w:widowControl w:val="0"/>
              <w:spacing w:line="338" w:lineRule="exact"/>
              <w:jc w:val="center"/>
              <w:rPr>
                <w:rFonts w:ascii="宋体" w:hAnsi="宋体" w:cs="宋体"/>
                <w:sz w:val="24"/>
                <w:szCs w:val="24"/>
                <w:lang w:val="zh-CN"/>
              </w:rPr>
            </w:pPr>
            <w:r>
              <w:rPr>
                <w:rFonts w:hint="eastAsia" w:ascii="宋体" w:hAnsi="宋体" w:cs="宋体"/>
                <w:sz w:val="24"/>
                <w:szCs w:val="24"/>
                <w:lang w:val="zh-CN"/>
              </w:rPr>
              <w:t>特别说明</w:t>
            </w:r>
          </w:p>
        </w:tc>
        <w:tc>
          <w:tcPr>
            <w:tcW w:w="7051" w:type="dxa"/>
            <w:tcBorders>
              <w:tl2br w:val="nil"/>
              <w:tr2bl w:val="nil"/>
            </w:tcBorders>
            <w:vAlign w:val="center"/>
          </w:tcPr>
          <w:p>
            <w:pPr>
              <w:widowControl w:val="0"/>
              <w:spacing w:line="338" w:lineRule="exact"/>
              <w:rPr>
                <w:rFonts w:ascii="宋体" w:hAnsi="宋体" w:cs="宋体"/>
                <w:sz w:val="24"/>
                <w:szCs w:val="24"/>
                <w:lang w:val="zh-CN"/>
              </w:rPr>
            </w:pPr>
            <w:r>
              <w:rPr>
                <w:rFonts w:hint="eastAsia" w:ascii="宋体" w:hAnsi="宋体" w:cs="宋体"/>
                <w:sz w:val="24"/>
                <w:szCs w:val="24"/>
                <w:lang w:val="zh-CN"/>
              </w:rPr>
              <w:t>本竞争性谈判文件中若存在相关产品的具体品牌、规格、型号、尺寸、重量，均不作为指定要求，而仅为技术水平、产品品质的客观参考。以上内容不作为技术评分因素。（由竞争性谈判小组一致判定为影响实际使用的参数除外，但应作相应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dxa"/>
            <w:tcBorders>
              <w:tl2br w:val="nil"/>
              <w:tr2bl w:val="nil"/>
            </w:tcBorders>
            <w:vAlign w:val="center"/>
          </w:tcPr>
          <w:p>
            <w:pPr>
              <w:widowControl w:val="0"/>
              <w:numPr>
                <w:ilvl w:val="0"/>
                <w:numId w:val="2"/>
              </w:numPr>
              <w:spacing w:line="338" w:lineRule="exact"/>
              <w:jc w:val="right"/>
              <w:rPr>
                <w:rFonts w:ascii="宋体" w:hAnsi="宋体" w:cs="宋体"/>
                <w:sz w:val="24"/>
                <w:szCs w:val="24"/>
              </w:rPr>
            </w:pPr>
          </w:p>
        </w:tc>
        <w:tc>
          <w:tcPr>
            <w:tcW w:w="2065" w:type="dxa"/>
            <w:tcBorders>
              <w:tl2br w:val="nil"/>
              <w:tr2bl w:val="nil"/>
            </w:tcBorders>
            <w:vAlign w:val="center"/>
          </w:tcPr>
          <w:p>
            <w:pPr>
              <w:widowControl w:val="0"/>
              <w:spacing w:line="380" w:lineRule="exact"/>
              <w:rPr>
                <w:rFonts w:ascii="宋体" w:hAnsi="宋体" w:cs="宋体"/>
                <w:sz w:val="24"/>
                <w:szCs w:val="24"/>
                <w:lang w:val="zh-CN"/>
              </w:rPr>
            </w:pPr>
            <w:r>
              <w:rPr>
                <w:rFonts w:hint="eastAsia" w:ascii="宋体" w:hAnsi="宋体" w:cs="宋体"/>
                <w:sz w:val="24"/>
                <w:szCs w:val="24"/>
                <w:lang w:val="zh-CN"/>
              </w:rPr>
              <w:t>招标代理服务费</w:t>
            </w:r>
          </w:p>
        </w:tc>
        <w:tc>
          <w:tcPr>
            <w:tcW w:w="7051" w:type="dxa"/>
            <w:tcBorders>
              <w:tl2br w:val="nil"/>
              <w:tr2bl w:val="nil"/>
            </w:tcBorders>
            <w:vAlign w:val="center"/>
          </w:tcPr>
          <w:p>
            <w:pPr>
              <w:widowControl w:val="0"/>
              <w:spacing w:line="380" w:lineRule="exact"/>
              <w:rPr>
                <w:rFonts w:ascii="宋体" w:hAnsi="宋体" w:cs="宋体"/>
                <w:sz w:val="24"/>
                <w:szCs w:val="24"/>
                <w:lang w:val="zh-CN"/>
              </w:rPr>
            </w:pPr>
            <w:r>
              <w:rPr>
                <w:rFonts w:hint="eastAsia" w:ascii="宋体" w:hAnsi="宋体" w:cs="宋体"/>
                <w:sz w:val="24"/>
                <w:szCs w:val="24"/>
                <w:lang w:val="zh-CN"/>
              </w:rPr>
              <w:t>采购代理机构将参照中华人民共和国国家发展计划委员会计价格〔2002〕1980号《招标代理服务收费管理暂行办法》和发改办价格〔2003〕857号文件规定向成交供应商收取招标代理服务费。</w:t>
            </w:r>
          </w:p>
        </w:tc>
      </w:tr>
    </w:tbl>
    <w:p>
      <w:pPr>
        <w:pStyle w:val="5"/>
        <w:numPr>
          <w:ilvl w:val="0"/>
          <w:numId w:val="1"/>
        </w:numPr>
        <w:rPr>
          <w:rFonts w:ascii="宋体" w:hAnsi="宋体" w:cs="宋体"/>
          <w:bCs/>
          <w:szCs w:val="24"/>
        </w:rPr>
      </w:pPr>
      <w:bookmarkStart w:id="6" w:name="_Toc20956"/>
      <w:r>
        <w:rPr>
          <w:rFonts w:hint="eastAsia" w:ascii="宋体" w:hAnsi="宋体" w:cs="宋体"/>
        </w:rPr>
        <w:t>总则</w:t>
      </w:r>
      <w:bookmarkEnd w:id="6"/>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1.适用范围</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1.1 本谈判文件仅适用于本次谈判所叙述的工程。</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1.2 本谈判文件的解释权归采购人和采购代理机构所有。</w:t>
      </w:r>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2.采购主体</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2.1 本次谈判的采购人是</w:t>
      </w:r>
      <w:r>
        <w:rPr>
          <w:rFonts w:hint="eastAsia" w:ascii="宋体" w:hAnsi="宋体" w:cs="宋体"/>
          <w:sz w:val="24"/>
          <w:szCs w:val="24"/>
          <w:u w:val="single"/>
          <w:lang w:eastAsia="zh-CN"/>
        </w:rPr>
        <w:t>南充市图书馆</w:t>
      </w:r>
      <w:r>
        <w:rPr>
          <w:rFonts w:hint="eastAsia" w:ascii="宋体" w:hAnsi="宋体" w:cs="宋体"/>
          <w:sz w:val="24"/>
          <w:szCs w:val="24"/>
        </w:rPr>
        <w:t>。</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2.2 本次谈判的采购代理机构是</w:t>
      </w:r>
      <w:r>
        <w:rPr>
          <w:rFonts w:hint="eastAsia" w:ascii="宋体" w:hAnsi="宋体" w:cs="宋体"/>
          <w:sz w:val="24"/>
          <w:szCs w:val="24"/>
          <w:u w:val="single"/>
        </w:rPr>
        <w:t>四川艮鑫工程项目管理有限公司</w:t>
      </w:r>
      <w:r>
        <w:rPr>
          <w:rFonts w:hint="eastAsia" w:ascii="宋体" w:hAnsi="宋体" w:cs="宋体"/>
          <w:sz w:val="24"/>
          <w:szCs w:val="24"/>
        </w:rPr>
        <w:t>。</w:t>
      </w:r>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3. 合格供应商（实质性要求）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合格供应商应具备以下条件：</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3.1 具备法律法规和本采购文件规定的资格条件；</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3.2 不属于禁止参加本项目采购活动的供应商；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3.3 按规定获取了谈判文件，属于实质性参加采购活动的供应商。</w:t>
      </w:r>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4. 谈判费用（实质性要求）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供应商应自行承担参加谈判活动的全部费用。</w:t>
      </w:r>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5.充分、公平竞争保障措施（实质性要求）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5.1 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5.2 利害关系授权代表处理。两家以上的供应商不得在同一合同项下的采购项目中，委托同一个自然人、同一家庭的人员、同一单位的人员作为其授权代表，否则，其响应文件作为无效处理。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5.3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5.4供应商实际控制人或者中高级管理人员，同时是采购代理机构工作人员，不得参与本项目采购活动。</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5.5 同一母公司的两家以上的子公司只能组成联合体参加本项目同一合同项下的采购活动，不得以不同供应商身份同时参加本项目同一合同项下的采购活动。</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5.6 供应商与采购代理机构存在关联关系，或者是采购代理机构的母公司或子公司，不得参加本项目采购活动。</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5.7 回避。采购活动中，采购人员及相关人员与供应商有下列利害关系之一的，应当回避：</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（1）参加采购活动前3 年内与供应商存在劳动关系；</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（2）参加采购活动前3 年内担任供应商的董事、监事；</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（3）参加采购活动前3 年内是供应商的控股股东或者实际控制人；</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（4）与供应商的法定代表人或者负责人有夫妻、直系血亲、三代以内旁系血亲或者近姻亲关系；</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（5）与供应商有其他可能影响采购活动公平、公正进行的关系。</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谈判小组成员。</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numPr>
          <w:ilvl w:val="0"/>
          <w:numId w:val="3"/>
        </w:num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联合体参加竞争性谈判（实质性要求）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本项目不接受联合体参加竞争性谈判。</w:t>
      </w:r>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7.谈判保证金</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参照《四川省财政厅关于进一步做好疫情防控期间政府采购工作有关事项的通知》（川财采〔2020〕28号)文件精神，本项目不收取投标保证金。</w:t>
      </w:r>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8.响应文件有效期（实质性要求）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本项目响应文件有效期为递交谈判响应文件截止之日起90 天。供应商响应文件中必须载明响应文件有效期，响应文件中载明的响应文件有效期可以长于谈判文件规定的期限，但不得短于谈判文件规定的期限。否则，其响应文件将作为无效响应处理。</w:t>
      </w:r>
    </w:p>
    <w:p>
      <w:pPr>
        <w:numPr>
          <w:ilvl w:val="0"/>
          <w:numId w:val="4"/>
        </w:num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知识产权（实质性要求）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9.2 除非谈判文件特别规定，采购人享有本项目实施过程中产生的知识成果及知识产权。</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9.3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9.4 如采用供应商所不拥有的知识产权，则在报价中必须包括合法获取该知识产权的相关费用。</w:t>
      </w:r>
    </w:p>
    <w:p>
      <w:pPr>
        <w:pStyle w:val="5"/>
        <w:numPr>
          <w:ilvl w:val="0"/>
          <w:numId w:val="1"/>
        </w:numPr>
        <w:spacing w:line="420" w:lineRule="exact"/>
      </w:pPr>
      <w:bookmarkStart w:id="7" w:name="_Toc13135"/>
      <w:r>
        <w:rPr>
          <w:rFonts w:hint="eastAsia"/>
        </w:rPr>
        <w:t>谈判文件</w:t>
      </w:r>
      <w:bookmarkEnd w:id="7"/>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10．谈判文件的构成（实质性要求）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10.1 谈判文件是供应商准备响应文件和参加谈判的依据，同时也是谈判的重要依据。谈判文件用以阐明谈判项目所需的资质、技术、服务及报价等要求、谈判程序、有关规定和注意事项以及合同主要条款等。</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10.2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11. 谈判文件的澄清和修改</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11.1 在递交响应文件截止时间前，采购人、采购代理机构可以对谈判文件进行澄清或者修改。</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11.2 采购代理机构对已发出的谈判文件进行澄清或者修改，应当以书面形式将澄清或者修改的内容通知所有购买了谈判文件的供应商。该澄清或者修改的内容为谈判文件的组成部分，澄清或者修改的内容可能影响响应文件编制的，采购人或者采购代理机构书面通知供应商的时间，应当在提交首次响应文件截止之日起3 个工作日前；不足上述时间的，应当顺延递交响应文件的截止时间。</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11.3 供应商认为采购人或采购代理机构需要对谈判文件进行澄清或者修改的，可以在提交首次响应文件截止之日起2 个工作日前以书面形式向采购人或采购代理机构提出申请，由采购人或采购代理机构决定是否采纳供应商的申请事项。</w:t>
      </w:r>
    </w:p>
    <w:p>
      <w:pPr>
        <w:spacing w:line="420" w:lineRule="exact"/>
        <w:ind w:firstLine="480" w:firstLineChars="200"/>
        <w:jc w:val="left"/>
        <w:rPr>
          <w:rFonts w:ascii="宋体" w:hAnsi="宋体" w:cs="宋体"/>
          <w:b/>
          <w:bCs/>
          <w:sz w:val="24"/>
          <w:szCs w:val="24"/>
        </w:rPr>
      </w:pPr>
      <w:r>
        <w:rPr>
          <w:rFonts w:hint="eastAsia" w:ascii="宋体" w:hAnsi="宋体" w:cs="宋体"/>
          <w:b/>
          <w:bCs/>
          <w:sz w:val="24"/>
          <w:szCs w:val="24"/>
        </w:rPr>
        <w:t>12. 答疑会和现场考察</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12.1 根据采购项目和具体情况，采购人、采购代理机构认为有必要，可以在谈判文件提供期限截止后响应文件提交截止前，组织已获取谈判文件的潜在供应商现场考察或者召开答疑会。</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12.2 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12.3 供应商自行承担参加答疑会和现场考察的一切费用。</w:t>
      </w:r>
    </w:p>
    <w:p>
      <w:pPr>
        <w:pStyle w:val="5"/>
      </w:pPr>
      <w:bookmarkStart w:id="8" w:name="_Toc25020"/>
      <w:bookmarkStart w:id="9" w:name="_Toc183682352"/>
      <w:bookmarkStart w:id="10" w:name="_Toc183582215"/>
      <w:bookmarkStart w:id="11" w:name="_Toc217446043"/>
      <w:bookmarkStart w:id="12" w:name="_Toc16640"/>
      <w:r>
        <w:rPr>
          <w:rFonts w:hint="eastAsia"/>
        </w:rPr>
        <w:t>四、响应文件</w:t>
      </w:r>
      <w:bookmarkEnd w:id="8"/>
    </w:p>
    <w:p>
      <w:pPr>
        <w:pStyle w:val="6"/>
        <w:keepNext w:val="0"/>
        <w:keepLines w:val="0"/>
        <w:spacing w:before="0" w:after="0" w:line="460" w:lineRule="exact"/>
        <w:ind w:firstLine="480" w:firstLineChars="200"/>
        <w:rPr>
          <w:rFonts w:ascii="宋体" w:hAnsi="宋体" w:cs="宋体"/>
          <w:sz w:val="24"/>
          <w:szCs w:val="24"/>
        </w:rPr>
      </w:pPr>
      <w:r>
        <w:rPr>
          <w:rFonts w:hint="eastAsia" w:ascii="宋体" w:hAnsi="宋体" w:cs="宋体"/>
          <w:sz w:val="24"/>
          <w:szCs w:val="24"/>
        </w:rPr>
        <w:t>13.响应文件的组成</w:t>
      </w:r>
    </w:p>
    <w:bookmarkEnd w:id="9"/>
    <w:bookmarkEnd w:id="10"/>
    <w:bookmarkEnd w:id="11"/>
    <w:p>
      <w:pPr>
        <w:spacing w:line="400" w:lineRule="exact"/>
        <w:ind w:firstLine="480" w:firstLineChars="200"/>
        <w:rPr>
          <w:rFonts w:hint="eastAsia" w:ascii="宋体" w:hAnsi="宋体" w:cs="宋体"/>
          <w:b w:val="0"/>
          <w:sz w:val="24"/>
          <w:szCs w:val="24"/>
          <w:highlight w:val="red"/>
        </w:rPr>
      </w:pPr>
      <w:bookmarkStart w:id="13" w:name="_Toc183682365"/>
      <w:bookmarkStart w:id="14" w:name="_Toc217446055"/>
      <w:bookmarkStart w:id="15" w:name="_Toc183582228"/>
      <w:r>
        <w:rPr>
          <w:rFonts w:hint="eastAsia" w:ascii="宋体" w:hAnsi="宋体" w:cs="宋体"/>
          <w:b w:val="0"/>
          <w:sz w:val="24"/>
          <w:szCs w:val="24"/>
          <w:highlight w:val="red"/>
        </w:rPr>
        <w:t>供应商应按照谈判文件的规定和要求编制响应文件。供应商在成交后将成交项目的非主体、非关键性工作分包他人完成的，应当在响应文件中载明或谈判过程中澄清。供应商编写的响应文件应包括资格性响应文件和其他响应文件两部分，分册装订。</w:t>
      </w:r>
    </w:p>
    <w:p>
      <w:pPr>
        <w:spacing w:line="400" w:lineRule="exact"/>
        <w:ind w:firstLine="480" w:firstLineChars="200"/>
        <w:rPr>
          <w:rFonts w:hint="eastAsia" w:ascii="宋体" w:hAnsi="宋体" w:cs="宋体"/>
          <w:b w:val="0"/>
          <w:sz w:val="24"/>
          <w:szCs w:val="24"/>
          <w:highlight w:val="red"/>
        </w:rPr>
      </w:pPr>
      <w:r>
        <w:rPr>
          <w:rFonts w:hint="eastAsia" w:ascii="宋体" w:hAnsi="宋体" w:cs="宋体"/>
          <w:b w:val="0"/>
          <w:sz w:val="24"/>
          <w:szCs w:val="24"/>
          <w:highlight w:val="red"/>
        </w:rPr>
        <w:t>13.1.资格性响应文件</w:t>
      </w:r>
    </w:p>
    <w:p>
      <w:pPr>
        <w:spacing w:line="400" w:lineRule="exact"/>
        <w:ind w:firstLine="480" w:firstLineChars="200"/>
        <w:rPr>
          <w:rFonts w:hint="eastAsia" w:ascii="宋体" w:hAnsi="宋体" w:cs="宋体"/>
          <w:b w:val="0"/>
          <w:sz w:val="24"/>
          <w:szCs w:val="24"/>
          <w:highlight w:val="red"/>
        </w:rPr>
      </w:pPr>
      <w:r>
        <w:rPr>
          <w:rFonts w:hint="eastAsia" w:ascii="宋体" w:hAnsi="宋体" w:cs="宋体"/>
          <w:b w:val="0"/>
          <w:sz w:val="24"/>
          <w:szCs w:val="24"/>
          <w:highlight w:val="red"/>
        </w:rPr>
        <w:t>本谈判文件第</w:t>
      </w:r>
      <w:r>
        <w:rPr>
          <w:rFonts w:hint="eastAsia" w:ascii="宋体" w:hAnsi="宋体" w:cs="宋体"/>
          <w:b w:val="0"/>
          <w:sz w:val="24"/>
          <w:szCs w:val="24"/>
          <w:highlight w:val="red"/>
          <w:lang w:eastAsia="zh-CN"/>
        </w:rPr>
        <w:t>四</w:t>
      </w:r>
      <w:r>
        <w:rPr>
          <w:rFonts w:hint="eastAsia" w:ascii="宋体" w:hAnsi="宋体" w:cs="宋体"/>
          <w:b w:val="0"/>
          <w:sz w:val="24"/>
          <w:szCs w:val="24"/>
          <w:highlight w:val="red"/>
        </w:rPr>
        <w:t>章的全部内容。</w:t>
      </w:r>
    </w:p>
    <w:p>
      <w:pPr>
        <w:spacing w:line="400" w:lineRule="exact"/>
        <w:ind w:firstLine="480" w:firstLineChars="200"/>
        <w:rPr>
          <w:rFonts w:hint="eastAsia" w:ascii="宋体" w:hAnsi="宋体" w:cs="宋体"/>
          <w:b w:val="0"/>
          <w:sz w:val="24"/>
          <w:szCs w:val="24"/>
          <w:highlight w:val="red"/>
        </w:rPr>
      </w:pPr>
      <w:r>
        <w:rPr>
          <w:rFonts w:hint="eastAsia" w:ascii="宋体" w:hAnsi="宋体" w:cs="宋体"/>
          <w:b w:val="0"/>
          <w:sz w:val="24"/>
          <w:szCs w:val="24"/>
          <w:highlight w:val="red"/>
        </w:rPr>
        <w:t>13.2.其他响应文件</w:t>
      </w:r>
    </w:p>
    <w:p>
      <w:pPr>
        <w:spacing w:line="400" w:lineRule="exact"/>
        <w:ind w:firstLine="480" w:firstLineChars="200"/>
        <w:rPr>
          <w:rFonts w:ascii="宋体" w:hAnsi="宋体" w:cs="宋体"/>
          <w:b/>
          <w:bCs/>
          <w:sz w:val="24"/>
          <w:highlight w:val="red"/>
        </w:rPr>
      </w:pPr>
      <w:r>
        <w:rPr>
          <w:rFonts w:hint="eastAsia" w:ascii="宋体" w:hAnsi="宋体" w:cs="宋体"/>
          <w:b w:val="0"/>
          <w:sz w:val="24"/>
          <w:szCs w:val="24"/>
          <w:highlight w:val="red"/>
        </w:rPr>
        <w:t>除资格证明材料以外的其他全部文件。</w:t>
      </w:r>
    </w:p>
    <w:p>
      <w:pPr>
        <w:pStyle w:val="6"/>
        <w:keepNext w:val="0"/>
        <w:keepLines w:val="0"/>
        <w:spacing w:before="0" w:after="0" w:line="400" w:lineRule="exact"/>
        <w:ind w:firstLine="480" w:firstLineChars="200"/>
        <w:rPr>
          <w:rFonts w:ascii="宋体" w:hAnsi="宋体" w:cs="宋体"/>
          <w:sz w:val="24"/>
          <w:szCs w:val="24"/>
        </w:rPr>
      </w:pPr>
      <w:r>
        <w:rPr>
          <w:rFonts w:hint="eastAsia" w:ascii="宋体" w:hAnsi="宋体" w:cs="宋体"/>
          <w:sz w:val="24"/>
          <w:szCs w:val="24"/>
        </w:rPr>
        <w:t>14.响应文件的语言</w:t>
      </w:r>
    </w:p>
    <w:p>
      <w:pPr>
        <w:spacing w:line="400" w:lineRule="exact"/>
        <w:ind w:firstLine="480" w:firstLineChars="200"/>
        <w:rPr>
          <w:rFonts w:ascii="宋体" w:hAnsi="宋体" w:cs="宋体"/>
          <w:sz w:val="24"/>
        </w:rPr>
      </w:pPr>
      <w:r>
        <w:rPr>
          <w:rFonts w:hint="eastAsia" w:ascii="宋体" w:hAnsi="宋体" w:cs="宋体"/>
          <w:sz w:val="24"/>
        </w:rPr>
        <w:t>14.1 供应商提交的响应文件以及供应商与采购人、采购代理机构就有关报价的所有来往书面文件均须使用中文。响应文件中如附有外文资料，应当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ascii="宋体" w:hAnsi="宋体" w:cs="宋体"/>
          <w:sz w:val="24"/>
        </w:rPr>
      </w:pPr>
      <w:r>
        <w:rPr>
          <w:rFonts w:hint="eastAsia" w:ascii="宋体" w:hAnsi="宋体" w:cs="宋体"/>
          <w:sz w:val="24"/>
        </w:rPr>
        <w:t>14.2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ascii="宋体" w:hAnsi="宋体" w:cs="宋体"/>
          <w:sz w:val="24"/>
          <w:szCs w:val="24"/>
        </w:rPr>
      </w:pPr>
      <w:bookmarkStart w:id="16" w:name="_Toc217446044"/>
      <w:bookmarkStart w:id="17" w:name="_Toc183682353"/>
      <w:bookmarkStart w:id="18" w:name="_Toc183582216"/>
      <w:r>
        <w:rPr>
          <w:rFonts w:hint="eastAsia" w:ascii="宋体" w:hAnsi="宋体" w:cs="宋体"/>
          <w:sz w:val="24"/>
          <w:szCs w:val="24"/>
        </w:rPr>
        <w:t>15．计量单位</w:t>
      </w:r>
      <w:bookmarkEnd w:id="16"/>
      <w:bookmarkEnd w:id="17"/>
      <w:bookmarkEnd w:id="18"/>
    </w:p>
    <w:p>
      <w:pPr>
        <w:spacing w:line="400" w:lineRule="exact"/>
        <w:ind w:firstLine="470" w:firstLineChars="196"/>
        <w:rPr>
          <w:rFonts w:ascii="宋体" w:hAnsi="宋体" w:cs="宋体"/>
          <w:sz w:val="24"/>
        </w:rPr>
      </w:pPr>
      <w:r>
        <w:rPr>
          <w:rFonts w:hint="eastAsia" w:ascii="宋体" w:hAnsi="宋体" w:cs="宋体"/>
          <w:sz w:val="24"/>
        </w:rPr>
        <w:t>除谈判文件中另有规定外，本次采购项目所有合同项下的报价均采用国家法定的计量单位。</w:t>
      </w:r>
    </w:p>
    <w:p>
      <w:pPr>
        <w:spacing w:line="400" w:lineRule="exact"/>
        <w:ind w:firstLine="468" w:firstLineChars="195"/>
        <w:rPr>
          <w:rFonts w:ascii="宋体" w:hAnsi="宋体" w:cs="宋体"/>
          <w:b/>
          <w:bCs/>
          <w:sz w:val="24"/>
        </w:rPr>
      </w:pPr>
      <w:bookmarkStart w:id="19" w:name="_Toc217446045"/>
      <w:r>
        <w:rPr>
          <w:rFonts w:hint="eastAsia" w:ascii="宋体" w:hAnsi="宋体" w:cs="宋体"/>
          <w:b/>
          <w:bCs/>
          <w:sz w:val="24"/>
        </w:rPr>
        <w:t xml:space="preserve">16. </w:t>
      </w:r>
      <w:r>
        <w:rPr>
          <w:rFonts w:hint="eastAsia" w:ascii="宋体" w:hAnsi="宋体" w:cs="宋体"/>
          <w:b/>
          <w:sz w:val="24"/>
        </w:rPr>
        <w:t>报价</w:t>
      </w:r>
      <w:r>
        <w:rPr>
          <w:rFonts w:hint="eastAsia" w:ascii="宋体" w:hAnsi="宋体" w:cs="宋体"/>
          <w:b/>
          <w:bCs/>
          <w:sz w:val="24"/>
        </w:rPr>
        <w:t>货币</w:t>
      </w:r>
    </w:p>
    <w:p>
      <w:pPr>
        <w:spacing w:line="400" w:lineRule="exact"/>
        <w:ind w:firstLine="480" w:firstLineChars="200"/>
        <w:rPr>
          <w:rFonts w:ascii="宋体" w:hAnsi="宋体" w:cs="宋体"/>
          <w:bCs/>
          <w:sz w:val="24"/>
        </w:rPr>
      </w:pPr>
      <w:r>
        <w:rPr>
          <w:rFonts w:hint="eastAsia" w:ascii="宋体" w:hAnsi="宋体" w:cs="宋体"/>
          <w:bCs/>
          <w:sz w:val="24"/>
        </w:rPr>
        <w:t>本次</w:t>
      </w:r>
      <w:r>
        <w:rPr>
          <w:rFonts w:hint="eastAsia" w:ascii="宋体" w:hAnsi="宋体" w:cs="宋体"/>
          <w:sz w:val="24"/>
        </w:rPr>
        <w:t>谈判</w:t>
      </w:r>
      <w:r>
        <w:rPr>
          <w:rFonts w:hint="eastAsia" w:ascii="宋体" w:hAnsi="宋体" w:cs="宋体"/>
          <w:bCs/>
          <w:sz w:val="24"/>
        </w:rPr>
        <w:t>项目的</w:t>
      </w:r>
      <w:r>
        <w:rPr>
          <w:rFonts w:hint="eastAsia" w:ascii="宋体" w:hAnsi="宋体" w:cs="宋体"/>
          <w:sz w:val="24"/>
        </w:rPr>
        <w:t>报价货币为</w:t>
      </w:r>
      <w:r>
        <w:rPr>
          <w:rFonts w:hint="eastAsia" w:ascii="宋体" w:hAnsi="宋体" w:cs="宋体"/>
          <w:bCs/>
          <w:sz w:val="24"/>
        </w:rPr>
        <w:t>人民币，报价以</w:t>
      </w:r>
      <w:r>
        <w:rPr>
          <w:rFonts w:hint="eastAsia" w:ascii="宋体" w:hAnsi="宋体" w:cs="宋体"/>
          <w:sz w:val="24"/>
        </w:rPr>
        <w:t>谈判</w:t>
      </w:r>
      <w:r>
        <w:rPr>
          <w:rFonts w:hint="eastAsia" w:ascii="宋体" w:hAnsi="宋体" w:cs="宋体"/>
          <w:bCs/>
          <w:sz w:val="24"/>
        </w:rPr>
        <w:t>文件约定为准。</w:t>
      </w:r>
    </w:p>
    <w:bookmarkEnd w:id="19"/>
    <w:p>
      <w:pPr>
        <w:spacing w:line="400" w:lineRule="exact"/>
        <w:ind w:left="2" w:leftChars="1" w:firstLine="480" w:firstLineChars="200"/>
        <w:rPr>
          <w:rFonts w:ascii="宋体" w:hAnsi="宋体" w:cs="宋体"/>
          <w:b/>
          <w:sz w:val="24"/>
        </w:rPr>
      </w:pPr>
      <w:r>
        <w:rPr>
          <w:rFonts w:hint="eastAsia" w:ascii="宋体" w:hAnsi="宋体" w:cs="宋体"/>
          <w:b/>
          <w:sz w:val="24"/>
        </w:rPr>
        <w:t>17.响应文件格式</w:t>
      </w:r>
    </w:p>
    <w:p>
      <w:pPr>
        <w:spacing w:line="400" w:lineRule="exact"/>
        <w:ind w:firstLine="480" w:firstLineChars="200"/>
        <w:rPr>
          <w:rFonts w:ascii="宋体" w:hAnsi="宋体" w:cs="宋体"/>
          <w:sz w:val="24"/>
        </w:rPr>
      </w:pPr>
      <w:r>
        <w:rPr>
          <w:rFonts w:hint="eastAsia" w:ascii="宋体" w:hAnsi="宋体" w:cs="宋体"/>
          <w:sz w:val="24"/>
        </w:rPr>
        <w:t>17.1 谈判文件第七章所提供的响应文件格式（不包括签字盖章），除格式中明确将该格式作为实质性要求的，不具有强制性。</w:t>
      </w:r>
    </w:p>
    <w:p>
      <w:pPr>
        <w:spacing w:line="400" w:lineRule="exact"/>
        <w:rPr>
          <w:rFonts w:ascii="宋体" w:hAnsi="宋体" w:cs="宋体"/>
          <w:sz w:val="24"/>
        </w:rPr>
      </w:pPr>
      <w:r>
        <w:rPr>
          <w:rFonts w:hint="eastAsia" w:ascii="宋体" w:hAnsi="宋体" w:cs="宋体"/>
          <w:sz w:val="24"/>
        </w:rPr>
        <w:t xml:space="preserve">    17.2响应文件格式有关表格中的备注栏，由供应商根据自身响应情况作解释性说明，不作为必填项。</w:t>
      </w:r>
    </w:p>
    <w:p>
      <w:pPr>
        <w:spacing w:line="400" w:lineRule="exact"/>
        <w:ind w:firstLine="480" w:firstLineChars="200"/>
      </w:pPr>
      <w:r>
        <w:rPr>
          <w:rFonts w:hint="eastAsia" w:ascii="宋体" w:hAnsi="宋体" w:cs="宋体"/>
          <w:sz w:val="24"/>
        </w:rPr>
        <w:t>17.3响应文件格式中需要填写的相关内容事项，可能会与本采购项目无关，在不改变响应文件原义、不影响本项目采购需求的情况下，供应商可以不予填写，但应当注明。</w:t>
      </w:r>
    </w:p>
    <w:p>
      <w:pPr>
        <w:spacing w:line="400" w:lineRule="exact"/>
        <w:ind w:left="2" w:leftChars="1" w:firstLine="480" w:firstLineChars="200"/>
        <w:rPr>
          <w:rFonts w:ascii="宋体" w:hAnsi="宋体" w:cs="宋体"/>
          <w:sz w:val="24"/>
        </w:rPr>
      </w:pPr>
      <w:r>
        <w:rPr>
          <w:rFonts w:hint="eastAsia" w:ascii="宋体" w:hAnsi="宋体" w:cs="宋体"/>
          <w:sz w:val="24"/>
        </w:rPr>
        <w:t>17.4 对于没有格式要求的响应文件由供应商自行编写。</w:t>
      </w:r>
    </w:p>
    <w:p>
      <w:pPr>
        <w:spacing w:line="400" w:lineRule="exact"/>
        <w:ind w:firstLine="470" w:firstLineChars="196"/>
        <w:rPr>
          <w:rFonts w:ascii="宋体" w:hAnsi="宋体" w:cs="宋体"/>
          <w:b/>
          <w:sz w:val="24"/>
        </w:rPr>
      </w:pPr>
      <w:bookmarkStart w:id="20" w:name="_Toc217446051"/>
      <w:bookmarkStart w:id="21" w:name="_Toc183582224"/>
      <w:bookmarkStart w:id="22" w:name="_Toc183682361"/>
      <w:r>
        <w:rPr>
          <w:rFonts w:hint="eastAsia" w:ascii="宋体" w:hAnsi="宋体" w:cs="宋体"/>
          <w:b/>
          <w:sz w:val="24"/>
        </w:rPr>
        <w:t>18.响应文件的编制和签署</w:t>
      </w:r>
    </w:p>
    <w:bookmarkEnd w:id="20"/>
    <w:bookmarkEnd w:id="21"/>
    <w:bookmarkEnd w:id="22"/>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18.1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18.2 其他响应文件正本1份副本2份，并在其封面上清楚地标明其他响应文件、采购项目名称、采购项目编号、包件号及名称（若有）、供应商名称以及“正本”或“副本”字样。若正本和副本有不一致的内容，以正本书面响应文件为准。</w:t>
      </w:r>
    </w:p>
    <w:p>
      <w:pPr>
        <w:tabs>
          <w:tab w:val="left" w:pos="1095"/>
        </w:tabs>
        <w:spacing w:line="360" w:lineRule="auto"/>
        <w:ind w:firstLine="480" w:firstLineChars="200"/>
        <w:rPr>
          <w:rFonts w:hint="eastAsia" w:ascii="宋体" w:hAnsi="宋体" w:eastAsia="宋体" w:cs="宋体"/>
          <w:sz w:val="24"/>
        </w:rPr>
      </w:pPr>
      <w:r>
        <w:rPr>
          <w:rFonts w:hint="eastAsia" w:ascii="宋体" w:hAnsi="宋体" w:eastAsia="宋体" w:cs="宋体"/>
          <w:sz w:val="24"/>
        </w:rPr>
        <w:t>18.3 响应文件正本和副本均需打印或用不褪色、不变质的墨水书写，并在规定签章处签字和盖章。响应文件副本可采用正本的复印件</w:t>
      </w:r>
      <w:r>
        <w:rPr>
          <w:rFonts w:hint="eastAsia" w:ascii="宋体" w:hAnsi="宋体" w:cs="宋体"/>
          <w:sz w:val="24"/>
          <w:lang w:eastAsia="zh-CN"/>
        </w:rPr>
        <w:t>，</w:t>
      </w:r>
      <w:r>
        <w:rPr>
          <w:rFonts w:hint="eastAsia" w:ascii="宋体" w:hAnsi="宋体" w:cs="宋体"/>
          <w:b/>
          <w:bCs/>
          <w:color w:val="000000"/>
          <w:sz w:val="24"/>
          <w:highlight w:val="red"/>
        </w:rPr>
        <w:t>提供电子文档1份采用U盘制作</w:t>
      </w:r>
      <w:r>
        <w:rPr>
          <w:rFonts w:hint="eastAsia" w:ascii="宋体" w:hAnsi="宋体" w:eastAsia="宋体" w:cs="宋体"/>
          <w:sz w:val="24"/>
          <w:highlight w:val="red"/>
        </w:rPr>
        <w:t>。</w:t>
      </w:r>
    </w:p>
    <w:p>
      <w:pPr>
        <w:tabs>
          <w:tab w:val="left" w:pos="1095"/>
        </w:tabs>
        <w:spacing w:line="360" w:lineRule="auto"/>
        <w:ind w:firstLine="480" w:firstLineChars="200"/>
        <w:rPr>
          <w:rFonts w:hint="eastAsia" w:ascii="宋体" w:hAnsi="宋体" w:eastAsia="宋体" w:cs="宋体"/>
          <w:sz w:val="24"/>
        </w:rPr>
      </w:pPr>
      <w:r>
        <w:rPr>
          <w:rFonts w:hint="eastAsia" w:ascii="宋体" w:hAnsi="宋体" w:eastAsia="宋体" w:cs="宋体"/>
          <w:sz w:val="24"/>
        </w:rPr>
        <w:t>18.4响应文件的打印和书写应清楚工整，任何行间插字、涂改或增删，必须由供应商的法定代表人或其授权代表签字并盖供应商公章。字迹潦草、表达不清或可能导致非唯一理解的响应文件可能被作为无效处理。</w:t>
      </w:r>
    </w:p>
    <w:p>
      <w:pPr>
        <w:tabs>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18.5</w:t>
      </w:r>
      <w:r>
        <w:rPr>
          <w:rFonts w:hint="eastAsia" w:ascii="宋体" w:hAnsi="宋体" w:eastAsia="宋体" w:cs="宋体"/>
          <w:b/>
          <w:sz w:val="24"/>
        </w:rPr>
        <w:t>（实质性要求）</w:t>
      </w:r>
      <w:r>
        <w:rPr>
          <w:rFonts w:hint="eastAsia" w:ascii="宋体" w:hAnsi="宋体" w:eastAsia="宋体" w:cs="宋体"/>
          <w:sz w:val="24"/>
        </w:rPr>
        <w:t>响应文件应由供应商法定代表人/或其授权代表在响应文件要求的地方签字（或加盖私人印章），要求加盖公章的地方加盖单位公章，不得使用专用章（如经济合同章、投标专用章等）或下属单位印章代替。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18.6响应文件正本和副本需要逐页编目编码。</w:t>
      </w:r>
    </w:p>
    <w:p>
      <w:pPr>
        <w:tabs>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18.7响应文件正本和副本应当采用胶装方式装订成册，不得散装或者合页装订。</w:t>
      </w:r>
    </w:p>
    <w:p>
      <w:pPr>
        <w:tabs>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18.8</w:t>
      </w:r>
      <w:r>
        <w:rPr>
          <w:rFonts w:hint="eastAsia" w:ascii="宋体" w:hAnsi="宋体" w:eastAsia="宋体" w:cs="宋体"/>
          <w:b/>
          <w:sz w:val="24"/>
        </w:rPr>
        <w:t>（实质性要求）</w:t>
      </w:r>
      <w:r>
        <w:rPr>
          <w:rFonts w:hint="eastAsia" w:ascii="宋体" w:hAnsi="宋体" w:eastAsia="宋体" w:cs="宋体"/>
          <w:sz w:val="24"/>
        </w:rPr>
        <w:t>响应文件应根据谈判文件的要求制作，签署、盖章。（按照《四川省政府采购评审工作规程（修订）》规范）</w:t>
      </w:r>
    </w:p>
    <w:p>
      <w:pPr>
        <w:tabs>
          <w:tab w:val="left" w:pos="1080"/>
        </w:tabs>
        <w:spacing w:line="420" w:lineRule="exact"/>
        <w:ind w:firstLine="460" w:firstLineChars="192"/>
        <w:rPr>
          <w:rFonts w:ascii="宋体" w:hAnsi="宋体" w:cs="宋体"/>
          <w:b/>
          <w:sz w:val="24"/>
        </w:rPr>
      </w:pPr>
      <w:r>
        <w:rPr>
          <w:rFonts w:hint="eastAsia" w:ascii="宋体" w:hAnsi="宋体" w:eastAsia="宋体" w:cs="宋体"/>
          <w:sz w:val="24"/>
        </w:rPr>
        <w:t>18.9响应文件统一用A4幅面纸印制，除另有规定外。</w:t>
      </w:r>
    </w:p>
    <w:p>
      <w:pPr>
        <w:tabs>
          <w:tab w:val="left" w:pos="1080"/>
        </w:tabs>
        <w:spacing w:line="420" w:lineRule="exact"/>
        <w:ind w:firstLine="460" w:firstLineChars="192"/>
        <w:rPr>
          <w:rFonts w:ascii="宋体" w:hAnsi="宋体" w:cs="宋体"/>
          <w:b/>
          <w:sz w:val="24"/>
        </w:rPr>
      </w:pPr>
      <w:bookmarkStart w:id="23" w:name="_Toc217446053"/>
      <w:bookmarkStart w:id="24" w:name="_Toc77400781"/>
      <w:bookmarkStart w:id="25" w:name="_Toc183682363"/>
      <w:bookmarkStart w:id="26" w:name="_Toc89075877"/>
      <w:bookmarkStart w:id="27" w:name="_Toc183582226"/>
      <w:r>
        <w:rPr>
          <w:rFonts w:hint="eastAsia" w:ascii="宋体" w:hAnsi="宋体" w:cs="宋体"/>
          <w:b/>
          <w:sz w:val="24"/>
        </w:rPr>
        <w:t>19.响应文件的密封和标注（不属于本项目谈判小组评审范畴，由采购人、采购代理机构在接收响应文件时及时处理）</w:t>
      </w:r>
    </w:p>
    <w:p>
      <w:pPr>
        <w:tabs>
          <w:tab w:val="left" w:pos="1080"/>
        </w:tabs>
        <w:spacing w:line="360" w:lineRule="auto"/>
        <w:ind w:firstLine="480" w:firstLineChars="200"/>
        <w:rPr>
          <w:rFonts w:hint="eastAsia" w:ascii="宋体" w:hAnsi="宋体" w:eastAsia="宋体" w:cs="宋体"/>
          <w:sz w:val="24"/>
          <w:highlight w:val="red"/>
        </w:rPr>
      </w:pPr>
      <w:r>
        <w:rPr>
          <w:rFonts w:hint="eastAsia" w:ascii="宋体" w:hAnsi="宋体" w:eastAsia="宋体" w:cs="宋体"/>
          <w:sz w:val="24"/>
          <w:highlight w:val="red"/>
        </w:rPr>
        <w:t>19.1资格性响应文件</w:t>
      </w:r>
      <w:r>
        <w:rPr>
          <w:rFonts w:hint="eastAsia" w:ascii="宋体" w:hAnsi="宋体" w:cs="宋体"/>
          <w:sz w:val="24"/>
          <w:highlight w:val="red"/>
          <w:lang w:eastAsia="zh-CN"/>
        </w:rPr>
        <w:t>、</w:t>
      </w:r>
      <w:r>
        <w:rPr>
          <w:rFonts w:hint="eastAsia" w:ascii="宋体" w:hAnsi="宋体" w:eastAsia="宋体" w:cs="宋体"/>
          <w:sz w:val="24"/>
          <w:highlight w:val="red"/>
        </w:rPr>
        <w:t>其他响应文件</w:t>
      </w:r>
      <w:r>
        <w:rPr>
          <w:rFonts w:hint="eastAsia" w:ascii="宋体" w:hAnsi="宋体" w:cs="宋体"/>
          <w:sz w:val="24"/>
          <w:highlight w:val="red"/>
          <w:lang w:eastAsia="zh-CN"/>
        </w:rPr>
        <w:t>和</w:t>
      </w:r>
      <w:r>
        <w:rPr>
          <w:rFonts w:hint="eastAsia" w:ascii="宋体" w:hAnsi="宋体" w:eastAsia="宋体" w:cs="宋体"/>
          <w:sz w:val="24"/>
          <w:highlight w:val="red"/>
          <w:lang w:eastAsia="zh-CN"/>
        </w:rPr>
        <w:t>电子文档</w:t>
      </w:r>
      <w:r>
        <w:rPr>
          <w:rFonts w:hint="eastAsia" w:ascii="宋体" w:hAnsi="宋体" w:eastAsia="宋体" w:cs="宋体"/>
          <w:sz w:val="24"/>
          <w:highlight w:val="red"/>
        </w:rPr>
        <w:t>应当分开密封包装。</w:t>
      </w:r>
    </w:p>
    <w:p>
      <w:pPr>
        <w:tabs>
          <w:tab w:val="left" w:pos="1080"/>
        </w:tabs>
        <w:spacing w:line="360" w:lineRule="auto"/>
        <w:ind w:firstLine="480" w:firstLineChars="200"/>
        <w:rPr>
          <w:rFonts w:hint="eastAsia" w:ascii="宋体" w:hAnsi="宋体" w:eastAsia="宋体" w:cs="宋体"/>
          <w:sz w:val="24"/>
          <w:highlight w:val="red"/>
        </w:rPr>
      </w:pPr>
      <w:r>
        <w:rPr>
          <w:rFonts w:hint="eastAsia" w:ascii="宋体" w:hAnsi="宋体" w:eastAsia="宋体" w:cs="宋体"/>
          <w:sz w:val="24"/>
          <w:highlight w:val="red"/>
        </w:rPr>
        <w:t>19.2响应文件密封袋的最外层应清楚地标明采购项目名称、采购项目编号、供应商名称（加盖公章）。</w:t>
      </w:r>
    </w:p>
    <w:p>
      <w:pPr>
        <w:tabs>
          <w:tab w:val="left" w:pos="1080"/>
        </w:tabs>
        <w:spacing w:line="360" w:lineRule="auto"/>
        <w:ind w:firstLine="480" w:firstLineChars="200"/>
        <w:rPr>
          <w:rFonts w:hint="eastAsia" w:ascii="宋体" w:hAnsi="宋体" w:eastAsia="宋体" w:cs="宋体"/>
          <w:sz w:val="24"/>
          <w:highlight w:val="red"/>
        </w:rPr>
      </w:pPr>
      <w:r>
        <w:rPr>
          <w:rFonts w:hint="eastAsia" w:ascii="宋体" w:hAnsi="宋体" w:eastAsia="宋体" w:cs="宋体"/>
          <w:sz w:val="24"/>
          <w:highlight w:val="red"/>
        </w:rPr>
        <w:t>19.3 所有外层密封袋的封口处应粘贴牢固。</w:t>
      </w:r>
    </w:p>
    <w:p>
      <w:pPr>
        <w:tabs>
          <w:tab w:val="left" w:pos="1080"/>
        </w:tabs>
        <w:spacing w:line="360" w:lineRule="auto"/>
        <w:ind w:firstLine="480" w:firstLineChars="200"/>
        <w:rPr>
          <w:rFonts w:hint="eastAsia" w:ascii="宋体" w:hAnsi="宋体" w:eastAsia="宋体" w:cs="宋体"/>
          <w:sz w:val="24"/>
          <w:highlight w:val="red"/>
        </w:rPr>
      </w:pPr>
      <w:r>
        <w:rPr>
          <w:rFonts w:hint="eastAsia" w:ascii="宋体" w:hAnsi="宋体" w:eastAsia="宋体" w:cs="宋体"/>
          <w:sz w:val="24"/>
          <w:highlight w:val="red"/>
        </w:rPr>
        <w:t>19.4 未按以上要求进行密封和标注的响应文件，采购人、采购代理机构将拒收或者在时间允许的范围内，要求修改完善后接收。</w:t>
      </w:r>
    </w:p>
    <w:p>
      <w:pPr>
        <w:tabs>
          <w:tab w:val="left" w:pos="1080"/>
        </w:tabs>
        <w:spacing w:line="420" w:lineRule="exact"/>
        <w:ind w:firstLine="460" w:firstLineChars="192"/>
        <w:rPr>
          <w:rFonts w:ascii="宋体" w:hAnsi="宋体" w:cs="宋体"/>
          <w:b/>
          <w:sz w:val="24"/>
        </w:rPr>
      </w:pPr>
      <w:r>
        <w:rPr>
          <w:rFonts w:hint="eastAsia" w:ascii="宋体" w:hAnsi="宋体" w:cs="宋体"/>
          <w:b/>
          <w:sz w:val="24"/>
        </w:rPr>
        <w:t>20.响应文件的递交</w:t>
      </w:r>
    </w:p>
    <w:p>
      <w:pPr>
        <w:tabs>
          <w:tab w:val="left" w:pos="1080"/>
        </w:tabs>
        <w:spacing w:line="420" w:lineRule="exact"/>
        <w:ind w:firstLine="460" w:firstLineChars="192"/>
        <w:rPr>
          <w:rFonts w:ascii="宋体" w:hAnsi="宋体" w:cs="宋体"/>
          <w:sz w:val="24"/>
        </w:rPr>
      </w:pPr>
      <w:r>
        <w:rPr>
          <w:rFonts w:hint="eastAsia" w:ascii="宋体" w:hAnsi="宋体" w:cs="宋体"/>
          <w:sz w:val="24"/>
        </w:rPr>
        <w:t>20.1 响应文件应于递交响应文件截止时间前送达指定地点，采购代理机构拒绝接收截止时间后送达的响应文件。</w:t>
      </w:r>
    </w:p>
    <w:p>
      <w:pPr>
        <w:tabs>
          <w:tab w:val="left" w:pos="1080"/>
        </w:tabs>
        <w:spacing w:line="420" w:lineRule="exact"/>
        <w:ind w:firstLine="460" w:firstLineChars="192"/>
        <w:rPr>
          <w:rFonts w:ascii="宋体" w:hAnsi="宋体" w:cs="宋体"/>
          <w:sz w:val="24"/>
        </w:rPr>
      </w:pPr>
      <w:r>
        <w:rPr>
          <w:rFonts w:hint="eastAsia" w:ascii="宋体" w:hAnsi="宋体" w:cs="宋体"/>
          <w:sz w:val="24"/>
        </w:rPr>
        <w:t>20.2 采购代理机构将向通过资格审查的供应商发出谈判邀请；告知未通过资格审查的供应商未通过的原因。</w:t>
      </w:r>
    </w:p>
    <w:p>
      <w:pPr>
        <w:tabs>
          <w:tab w:val="left" w:pos="1080"/>
        </w:tabs>
        <w:spacing w:line="420" w:lineRule="exact"/>
        <w:ind w:firstLine="460" w:firstLineChars="192"/>
        <w:rPr>
          <w:rFonts w:ascii="宋体" w:hAnsi="宋体" w:cs="宋体"/>
          <w:sz w:val="24"/>
        </w:rPr>
      </w:pPr>
      <w:r>
        <w:rPr>
          <w:rFonts w:hint="eastAsia" w:ascii="宋体" w:hAnsi="宋体" w:cs="宋体"/>
          <w:sz w:val="24"/>
        </w:rPr>
        <w:t>20.3 报价表在谈判后，谈判小组要求供应商进行最后报价时递交。</w:t>
      </w:r>
    </w:p>
    <w:p>
      <w:pPr>
        <w:tabs>
          <w:tab w:val="left" w:pos="1080"/>
        </w:tabs>
        <w:spacing w:line="420" w:lineRule="exact"/>
        <w:ind w:firstLine="460" w:firstLineChars="192"/>
        <w:rPr>
          <w:rFonts w:ascii="宋体" w:hAnsi="宋体" w:cs="宋体"/>
          <w:sz w:val="24"/>
        </w:rPr>
      </w:pPr>
      <w:r>
        <w:rPr>
          <w:rFonts w:hint="eastAsia" w:ascii="宋体" w:hAnsi="宋体" w:cs="宋体"/>
          <w:sz w:val="24"/>
        </w:rPr>
        <w:t>20.4 本次采购不接收邮寄的响应文件（本次采购可以接收邮寄的响应文件，但因邮寄导致报价截止时间以后收到的响应文件，响应文件将被拒收）。</w:t>
      </w:r>
    </w:p>
    <w:bookmarkEnd w:id="13"/>
    <w:bookmarkEnd w:id="14"/>
    <w:bookmarkEnd w:id="15"/>
    <w:bookmarkEnd w:id="23"/>
    <w:bookmarkEnd w:id="24"/>
    <w:bookmarkEnd w:id="25"/>
    <w:bookmarkEnd w:id="26"/>
    <w:bookmarkEnd w:id="27"/>
    <w:p>
      <w:pPr>
        <w:tabs>
          <w:tab w:val="left" w:pos="1080"/>
        </w:tabs>
        <w:spacing w:line="430" w:lineRule="exact"/>
        <w:ind w:firstLine="460" w:firstLineChars="192"/>
        <w:rPr>
          <w:rFonts w:ascii="宋体" w:hAnsi="宋体" w:cs="宋体"/>
          <w:b/>
          <w:sz w:val="24"/>
        </w:rPr>
      </w:pPr>
      <w:r>
        <w:rPr>
          <w:rFonts w:hint="eastAsia" w:ascii="宋体" w:hAnsi="宋体" w:cs="宋体"/>
          <w:b/>
          <w:sz w:val="24"/>
        </w:rPr>
        <w:t>21.响应文件的修改和撤回（补充、修改响应文件的密封和标注按照本章“19.响应文件的密封和标注”规定处理）</w:t>
      </w:r>
    </w:p>
    <w:p>
      <w:pPr>
        <w:pStyle w:val="8"/>
        <w:spacing w:line="400" w:lineRule="exact"/>
        <w:ind w:firstLine="480"/>
        <w:rPr>
          <w:rFonts w:ascii="宋体" w:hAnsi="宋体" w:cs="宋体"/>
          <w:sz w:val="24"/>
        </w:rPr>
      </w:pPr>
      <w:r>
        <w:rPr>
          <w:rFonts w:hint="eastAsia" w:ascii="宋体" w:hAnsi="宋体" w:cs="宋体"/>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21.2供应商对响应文件修改的书面材料或撤回的通知应该按规定进行编写、密封、标注和递送，并注明“修改响应文件”字样。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21.3 供应商不得在递交截止时间起至响应文件有效期期满前撤回其响应文件。</w:t>
      </w:r>
    </w:p>
    <w:p>
      <w:pPr>
        <w:spacing w:line="400" w:lineRule="exact"/>
        <w:ind w:firstLine="480"/>
        <w:rPr>
          <w:rFonts w:ascii="宋体" w:hAnsi="宋体" w:cs="宋体"/>
          <w:sz w:val="24"/>
        </w:rPr>
      </w:pPr>
      <w:r>
        <w:rPr>
          <w:rFonts w:hint="eastAsia" w:ascii="宋体" w:hAnsi="宋体" w:cs="宋体"/>
          <w:sz w:val="24"/>
        </w:rPr>
        <w:t>21.4 响应文件中报价如果出现下列不一致的，可按以下原则进行修改：</w:t>
      </w:r>
    </w:p>
    <w:p>
      <w:pPr>
        <w:spacing w:line="400" w:lineRule="exact"/>
        <w:ind w:firstLine="480"/>
        <w:rPr>
          <w:rFonts w:ascii="宋体" w:hAnsi="宋体" w:cs="宋体"/>
          <w:sz w:val="24"/>
        </w:rPr>
      </w:pPr>
      <w:r>
        <w:rPr>
          <w:rFonts w:hint="eastAsia" w:ascii="宋体" w:hAnsi="宋体" w:cs="宋体"/>
          <w:sz w:val="24"/>
        </w:rPr>
        <w:t>（一）</w:t>
      </w:r>
      <w:r>
        <w:rPr>
          <w:rFonts w:hint="eastAsia" w:ascii="宋体" w:hAnsi="宋体" w:cs="宋体"/>
          <w:kern w:val="0"/>
          <w:sz w:val="24"/>
        </w:rPr>
        <w:t>大写金额和小写金额不一致的，以大写金额为准</w:t>
      </w:r>
      <w:r>
        <w:rPr>
          <w:rFonts w:hint="eastAsia" w:ascii="宋体" w:hAnsi="宋体" w:cs="宋体"/>
          <w:sz w:val="24"/>
        </w:rPr>
        <w:t>，但大写金额文字存在错误的，应当先对大写金额的文字错误进行澄清、说明或者更正，再行修正。</w:t>
      </w:r>
    </w:p>
    <w:p>
      <w:pPr>
        <w:spacing w:line="400" w:lineRule="exact"/>
        <w:ind w:firstLine="480"/>
        <w:rPr>
          <w:rFonts w:ascii="宋体" w:hAnsi="宋体" w:cs="宋体"/>
          <w:sz w:val="24"/>
        </w:rPr>
      </w:pPr>
      <w:r>
        <w:rPr>
          <w:rFonts w:hint="eastAsia" w:ascii="宋体" w:hAnsi="宋体" w:cs="宋体"/>
          <w:sz w:val="24"/>
        </w:rPr>
        <w:t>（二）</w:t>
      </w:r>
      <w:r>
        <w:rPr>
          <w:rFonts w:hint="eastAsia" w:ascii="宋体" w:hAnsi="宋体" w:cs="宋体"/>
          <w:kern w:val="0"/>
          <w:sz w:val="24"/>
        </w:rPr>
        <w:t>总价金额与按单价汇总金额不一致的，以单价金额计算结果为准，</w:t>
      </w:r>
      <w:r>
        <w:rPr>
          <w:rFonts w:hint="eastAsia" w:ascii="宋体" w:hAnsi="宋体" w:cs="宋体"/>
          <w:sz w:val="24"/>
        </w:rPr>
        <w:t>但</w:t>
      </w:r>
      <w:r>
        <w:rPr>
          <w:rFonts w:hint="eastAsia" w:ascii="宋体" w:hAnsi="宋体" w:cs="宋体"/>
          <w:kern w:val="0"/>
          <w:sz w:val="24"/>
        </w:rPr>
        <w:t>单价或者单价汇总金额存在数字或者</w:t>
      </w:r>
      <w:r>
        <w:rPr>
          <w:rFonts w:hint="eastAsia" w:ascii="宋体" w:hAnsi="宋体" w:cs="宋体"/>
          <w:sz w:val="24"/>
        </w:rPr>
        <w:t>文字错误的，应当先对</w:t>
      </w:r>
      <w:r>
        <w:rPr>
          <w:rFonts w:hint="eastAsia" w:ascii="宋体" w:hAnsi="宋体" w:cs="宋体"/>
          <w:kern w:val="0"/>
          <w:sz w:val="24"/>
        </w:rPr>
        <w:t>数字或者</w:t>
      </w:r>
      <w:r>
        <w:rPr>
          <w:rFonts w:hint="eastAsia" w:ascii="宋体" w:hAnsi="宋体" w:cs="宋体"/>
          <w:sz w:val="24"/>
        </w:rPr>
        <w:t>文字错误进行澄清、说明或者更正，再行修正。</w:t>
      </w:r>
    </w:p>
    <w:p>
      <w:pPr>
        <w:spacing w:line="400" w:lineRule="exact"/>
        <w:ind w:firstLine="480"/>
        <w:rPr>
          <w:rFonts w:ascii="宋体" w:hAnsi="宋体" w:cs="宋体"/>
          <w:sz w:val="24"/>
        </w:rPr>
      </w:pPr>
      <w:r>
        <w:rPr>
          <w:rFonts w:hint="eastAsia" w:ascii="宋体" w:hAnsi="宋体" w:cs="宋体"/>
          <w:sz w:val="24"/>
        </w:rPr>
        <w:t>（三）单价金额小数点</w:t>
      </w:r>
      <w:r>
        <w:rPr>
          <w:rFonts w:hint="eastAsia" w:ascii="宋体" w:hAnsi="宋体" w:cs="宋体"/>
          <w:kern w:val="0"/>
          <w:sz w:val="24"/>
        </w:rPr>
        <w:t>或者百分比有明显错位的</w:t>
      </w:r>
      <w:r>
        <w:rPr>
          <w:rFonts w:hint="eastAsia" w:ascii="宋体" w:hAnsi="宋体" w:cs="宋体"/>
          <w:sz w:val="24"/>
        </w:rPr>
        <w:t>，以总价为准，修正单价。</w:t>
      </w:r>
    </w:p>
    <w:p>
      <w:pPr>
        <w:ind w:firstLine="480" w:firstLineChars="200"/>
        <w:jc w:val="left"/>
        <w:rPr>
          <w:rFonts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ascii="宋体" w:hAnsi="宋体" w:cs="宋体"/>
          <w:sz w:val="24"/>
        </w:rPr>
      </w:pPr>
      <w:r>
        <w:rPr>
          <w:rFonts w:hint="eastAsia" w:ascii="宋体" w:hAnsi="宋体" w:cs="宋体"/>
          <w:sz w:val="24"/>
        </w:rPr>
        <w:t>21.5 供应商对其提交的响应文件的真实性、合法性承担法律责任。</w:t>
      </w:r>
    </w:p>
    <w:p>
      <w:pPr>
        <w:pStyle w:val="5"/>
        <w:numPr>
          <w:ilvl w:val="0"/>
          <w:numId w:val="1"/>
        </w:numPr>
        <w:spacing w:line="420" w:lineRule="exact"/>
      </w:pPr>
      <w:r>
        <w:rPr>
          <w:rFonts w:hint="eastAsia"/>
        </w:rPr>
        <w:t>评审</w:t>
      </w:r>
      <w:bookmarkEnd w:id="12"/>
    </w:p>
    <w:p>
      <w:pPr>
        <w:spacing w:line="420" w:lineRule="exact"/>
        <w:ind w:firstLine="480" w:firstLineChars="200"/>
        <w:jc w:val="left"/>
        <w:rPr>
          <w:rFonts w:ascii="宋体" w:hAnsi="宋体" w:cs="宋体"/>
          <w:sz w:val="24"/>
          <w:szCs w:val="24"/>
        </w:rPr>
      </w:pPr>
      <w:r>
        <w:rPr>
          <w:rFonts w:hint="eastAsia" w:ascii="宋体" w:hAnsi="宋体" w:cs="宋体"/>
          <w:sz w:val="24"/>
          <w:szCs w:val="24"/>
        </w:rPr>
        <w:t>22. 谈判小组的组建及其评审工作按照有关法律制度和本文件第七章的规定进行。</w:t>
      </w:r>
    </w:p>
    <w:p>
      <w:pPr>
        <w:pStyle w:val="5"/>
        <w:numPr>
          <w:ilvl w:val="0"/>
          <w:numId w:val="1"/>
        </w:numPr>
        <w:spacing w:line="420" w:lineRule="exact"/>
      </w:pPr>
      <w:bookmarkStart w:id="28" w:name="_Toc9935"/>
      <w:r>
        <w:rPr>
          <w:rFonts w:hint="eastAsia"/>
        </w:rPr>
        <w:t>成交事项</w:t>
      </w:r>
      <w:bookmarkEnd w:id="28"/>
    </w:p>
    <w:p>
      <w:pPr>
        <w:spacing w:line="420" w:lineRule="exact"/>
        <w:ind w:firstLine="480" w:firstLineChars="200"/>
        <w:jc w:val="left"/>
        <w:rPr>
          <w:rFonts w:ascii="宋体" w:hAnsi="宋体" w:cs="宋体"/>
          <w:sz w:val="24"/>
          <w:szCs w:val="24"/>
        </w:rPr>
      </w:pPr>
      <w:r>
        <w:rPr>
          <w:rFonts w:hint="eastAsia" w:ascii="宋体" w:hAnsi="宋体" w:cs="宋体"/>
          <w:sz w:val="24"/>
          <w:szCs w:val="24"/>
        </w:rPr>
        <w:t>23.确定成交供应商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采购人授权谈判小组根据满足谈判文件全部实质性要求，且报价最低的报价人为</w:t>
      </w:r>
      <w:r>
        <w:rPr>
          <w:rFonts w:hint="eastAsia" w:ascii="宋体" w:hAnsi="宋体" w:cs="宋体"/>
          <w:kern w:val="0"/>
          <w:sz w:val="24"/>
        </w:rPr>
        <w:t>成交供应商</w:t>
      </w:r>
      <w:r>
        <w:rPr>
          <w:rFonts w:hint="eastAsia" w:ascii="宋体" w:hAnsi="宋体" w:cs="宋体"/>
          <w:sz w:val="24"/>
          <w:szCs w:val="24"/>
        </w:rPr>
        <w:t>。</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24.成交结果</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24.1 采购人确定成交供应商后，将及时书面通知采购代理机构，发出成交通知书并发布成交结果公告。</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24.2 成交供应商应当及时领取成交通知书。本项目不需要交纳履约保证金。</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24.3 成交供应商不能及时领取成交通知书，采购人或者采购代理机构应当通过邮寄、快递等方式将项目成交通知书送达成交供应商。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25.成交通知书</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25.1 成交通知书为签订采购合同的依据之一，是合同的有效组成部分。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25.2 成交通知书对采购人和成交供应商均具有法律效力。成交通知书发出后，采购人无正当理由改变成交结果，或者成交供应商无正当理由放弃成交的，将承担相应的法律责任。</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25.3 成交供应商的响应文件作为无效响应文件处理或者有政府采购法律法规规章制度规定的成交无效情形的，采购人或采购代理机构在取得有权主体的认定以后，有权宣布发出的成交通知书无效，并收回发出的成交通知书，依法重新确定成交供应商或者重新开展采购活动。</w:t>
      </w:r>
    </w:p>
    <w:p>
      <w:pPr>
        <w:pStyle w:val="5"/>
        <w:numPr>
          <w:ilvl w:val="0"/>
          <w:numId w:val="1"/>
        </w:numPr>
        <w:spacing w:line="420" w:lineRule="exact"/>
      </w:pPr>
      <w:bookmarkStart w:id="29" w:name="_Toc24801"/>
      <w:r>
        <w:rPr>
          <w:rFonts w:hint="eastAsia"/>
        </w:rPr>
        <w:t>合同事项</w:t>
      </w:r>
      <w:bookmarkEnd w:id="29"/>
    </w:p>
    <w:p>
      <w:pPr>
        <w:numPr>
          <w:ilvl w:val="0"/>
          <w:numId w:val="5"/>
        </w:numPr>
        <w:spacing w:line="420" w:lineRule="exact"/>
        <w:ind w:firstLine="480" w:firstLineChars="200"/>
        <w:jc w:val="left"/>
        <w:rPr>
          <w:rFonts w:ascii="宋体" w:hAnsi="宋体" w:cs="宋体"/>
          <w:sz w:val="24"/>
          <w:szCs w:val="24"/>
        </w:rPr>
      </w:pPr>
      <w:r>
        <w:rPr>
          <w:rFonts w:hint="eastAsia" w:ascii="宋体" w:hAnsi="宋体" w:cs="宋体"/>
          <w:sz w:val="24"/>
          <w:szCs w:val="24"/>
        </w:rPr>
        <w:t>签订合同</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26.2 谈判文件、成交供应商的响应文件及双方确认的澄清文件等，均为有法律约束力的经济合同的组成部分。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26.4 成交供应商因不可抗力原因不能履行采购合同或放弃成交的，采购人可以与排在成交供应商之后第一位的成交候选人签订采购合同，以此类推。</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26.5 竞争性谈判文件、成交供应商提交的响应文件、谈判中的最后报价、成交供应商承诺书、成交通知书等均称为有法律约束力的合同组成内容。</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27.合同分包（实质性要求）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分包履行合同的部分应当为采购项目的非主体、非关键性工作，不属于成交供应商的主要合同义务。</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27.2 采购合同实行分包履行的，成交供应商就采购项目和分包项目向采购人负责，分包供应商就分包项目承担责任。</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27.3 中小企业依据《政府采购促进中小企业发展管理办法》（财库〔2020〕46号）规定的政策获取采购合同后，小型、微型企业不得分包或转包给大型、中型企业，中型企业不得分包或转包给大型企业。</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28.合同转包（实质性要求）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成交供应商转包的，视同拒绝履行采购合同义务，将依法追究法律责任。</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29.补充合同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采购合同履行过程中，不得在原采购合同履行结束后，且采购货物、工程和服务的名称、价格、履约方式、验收标准等必须与原采购合同一致。</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30.履约保证金（实质性要求）</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交款金额、交款方式、交款时间、收款单位、开户行、银行账号签订合同时同采购人约定。</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31.履行合同</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31.1 成交供应商与采购人签订合同后，合同双方应严格执行合同条款，履行合同规定的义务，保证合同的顺利完成。</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31.2 在合同履行过程中，如发生合同纠纷，合同双方应按照《合同法》的有关规定进行处理。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32.验收</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32.1 本项目采购人及其委托的采购代理机构将严格参照政府采购相关法律法规以及《四川省政府采购项目需求论证和履约验收管理办法》（川财采〔2015〕32 号）的要求进行验收。</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32.2 验收结果合格的，成交供应商凭验收合格书到采购人指定处办理履约保证金的退付手续（如有）；验收结果不合格的，履约保证金将不予退还（如有），也将不予支付采购资金。</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33.资金支付</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采购人将按照采购合同规定，及时向成交供应商支付采购资金。</w:t>
      </w:r>
    </w:p>
    <w:p>
      <w:pPr>
        <w:pStyle w:val="5"/>
        <w:numPr>
          <w:ilvl w:val="0"/>
          <w:numId w:val="1"/>
        </w:numPr>
        <w:spacing w:line="420" w:lineRule="exact"/>
      </w:pPr>
      <w:bookmarkStart w:id="30" w:name="_Toc19354"/>
      <w:r>
        <w:rPr>
          <w:rFonts w:hint="eastAsia"/>
        </w:rPr>
        <w:t>谈判纪律要求</w:t>
      </w:r>
      <w:bookmarkEnd w:id="30"/>
    </w:p>
    <w:p>
      <w:pPr>
        <w:spacing w:line="420" w:lineRule="exact"/>
        <w:ind w:firstLine="480" w:firstLineChars="200"/>
        <w:jc w:val="left"/>
        <w:rPr>
          <w:rFonts w:ascii="宋体" w:hAnsi="宋体" w:cs="宋体"/>
          <w:sz w:val="24"/>
          <w:szCs w:val="24"/>
        </w:rPr>
      </w:pPr>
      <w:r>
        <w:rPr>
          <w:rFonts w:hint="eastAsia" w:ascii="宋体" w:hAnsi="宋体" w:cs="宋体"/>
          <w:sz w:val="24"/>
          <w:szCs w:val="24"/>
        </w:rPr>
        <w:t>34.供应商不得具有的情形</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供应商参加本项目谈判不得有下列情形：</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（1）提供虚假材料谋取成交；</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（2）采取不正当手段诋毁、排挤其他供应商；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（3）与采购人、采购代理机构、或其他供应商恶意串通；</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（4）向采购人、采购代理机构、谈判小组成员行贿或者提供其他不正当利益；</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（5）在谈判过程中与采购人、采购代理机构进行协商；</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（6）成交后无正当理由拒不与采购人签订采购合同；</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（7）未按照谈判文件确定的事项签订采购合同；</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（8）将采购合同转包或者违规分包；</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（9）提供假冒伪劣产品；</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（10）擅自变更、中止或者终止采购合同；</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（11）拒绝有关部门的监督检查或者向监督检查部门提供虚假情况；</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（12）法律法规规定的其他情形。</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供应商有上述情形的，按照规定追究法律责任，具备（1）-（10）条情形之一的，同时将取消被确认为成交供应商的资格或者认定成交无效。</w:t>
      </w:r>
    </w:p>
    <w:p>
      <w:pPr>
        <w:pStyle w:val="5"/>
        <w:numPr>
          <w:ilvl w:val="0"/>
          <w:numId w:val="1"/>
        </w:numPr>
        <w:spacing w:line="420" w:lineRule="exact"/>
      </w:pPr>
      <w:bookmarkStart w:id="31" w:name="_Toc28240"/>
      <w:r>
        <w:rPr>
          <w:rFonts w:hint="eastAsia"/>
        </w:rPr>
        <w:t>询问、质疑和投诉</w:t>
      </w:r>
      <w:bookmarkEnd w:id="31"/>
    </w:p>
    <w:p>
      <w:pPr>
        <w:spacing w:line="420" w:lineRule="exact"/>
        <w:ind w:firstLine="480" w:firstLineChars="200"/>
        <w:jc w:val="left"/>
        <w:rPr>
          <w:rFonts w:ascii="宋体" w:hAnsi="宋体" w:cs="宋体"/>
          <w:sz w:val="24"/>
          <w:szCs w:val="24"/>
        </w:rPr>
      </w:pPr>
      <w:r>
        <w:rPr>
          <w:rFonts w:hint="eastAsia" w:ascii="宋体" w:hAnsi="宋体" w:cs="宋体"/>
          <w:sz w:val="24"/>
          <w:szCs w:val="24"/>
        </w:rPr>
        <w:t>35.询问、质疑、投诉的接收和处理严格参照《中华人共和国政府采购法》、《中华人民共和国政府采购法实施条例》、《政府采购质疑和投诉办法》、《财政部关于加强政府采购供应商投诉受理审查工作的通知》和四川省的有关规定办理（详细规定请在中国政府采购网政策法规模块查询）。</w:t>
      </w:r>
    </w:p>
    <w:p>
      <w:pPr>
        <w:pStyle w:val="5"/>
        <w:numPr>
          <w:ilvl w:val="0"/>
          <w:numId w:val="1"/>
        </w:numPr>
        <w:spacing w:line="420" w:lineRule="exact"/>
      </w:pPr>
      <w:bookmarkStart w:id="32" w:name="_Toc5243"/>
      <w:r>
        <w:rPr>
          <w:rFonts w:hint="eastAsia"/>
        </w:rPr>
        <w:t>其他</w:t>
      </w:r>
      <w:bookmarkEnd w:id="32"/>
    </w:p>
    <w:p>
      <w:pPr>
        <w:spacing w:line="420" w:lineRule="exact"/>
        <w:ind w:firstLine="480" w:firstLineChars="200"/>
        <w:jc w:val="left"/>
        <w:rPr>
          <w:rFonts w:ascii="宋体" w:hAnsi="宋体" w:cs="宋体"/>
          <w:sz w:val="24"/>
          <w:szCs w:val="24"/>
        </w:rPr>
      </w:pPr>
      <w:r>
        <w:rPr>
          <w:rFonts w:hint="eastAsia" w:ascii="宋体" w:hAnsi="宋体" w:cs="宋体"/>
          <w:sz w:val="24"/>
          <w:szCs w:val="24"/>
        </w:rPr>
        <w:t>36.本谈判文件中所引相关法律制度规定，在采购中有变化的，参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37.（实质性要求）国家或行业主管部门对供应商和采购产品的技术标准、质量标准和资格资质条件等有强制性规定的，必须符合其要求。</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rPr>
          <w:rFonts w:hint="eastAsia"/>
        </w:rPr>
      </w:pPr>
      <w:bookmarkStart w:id="33" w:name="_Toc5204"/>
      <w:bookmarkStart w:id="34" w:name="_Toc4676"/>
      <w:r>
        <w:rPr>
          <w:rFonts w:hint="eastAsia"/>
        </w:rPr>
        <w:br w:type="page"/>
      </w:r>
    </w:p>
    <w:p>
      <w:pPr>
        <w:pStyle w:val="4"/>
      </w:pPr>
      <w:r>
        <w:rPr>
          <w:rFonts w:hint="eastAsia"/>
        </w:rPr>
        <w:t>第三章 供应商资格条件要求</w:t>
      </w:r>
      <w:bookmarkEnd w:id="33"/>
      <w:bookmarkEnd w:id="34"/>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一、供应商资格、资质性及其他类似效力要求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（一）资格要求：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1.《中华人民共和国政府采购法》第二十二条规定的条件：</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（1）具有独立承担民事责任的能力；</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（2）具有良好的商业信誉和健全的财务会计制度；</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（3）具有履行合同所必需的设备和专业技术能力；</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（4）有依法缴纳税收和社会保障资金的良好记录；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（5）参加本次采购活动前三年内，在经营活动中没有重大违法记录；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（6）法律、行政法规规定的其他条件。</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（7）本项目不接受联合体参加竞争性谈判。</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2.采购人根据采购项目提出的特殊条件：无</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二、严禁参加本次采购活动的供应商</w:t>
      </w:r>
    </w:p>
    <w:p>
      <w:pPr>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1.根据《关于在政府采购活动中查询及使用信用记录有关问题的通知》（财库〔2016 〕125 号）的要求，采购代理机构将通过“ 信用中国” 网站（www.creditchina.gov.cn）、“中国政府采购网”网站（www.ccgp.gov.cn）等渠道查询供应商在采购公告发布之日前的信用记录，拒绝列入失信被执行人名单、重大税收违法案件当事人名单、政府采购严重违法失信行为记录名单中的供应商报名参加本项目的采购活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为采购项目提供整体设计、规范编制或者项目管理、监理、检测等服务的供应商，不得参加本采购项目。供应商为采购人、采购代理机构在确定采购需求、编制谈判文件过程中提供咨询论证，其提供的咨询论证意见成为谈判文件中规定的供应商资格条件、技术服务商务要求、评审因素和标准、采购合同等实质性内容条款的，视同为采购项目提供规范编制。</w:t>
      </w:r>
    </w:p>
    <w:p>
      <w:pPr>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3.单位及其现任法定代表人（主要负责人）近三年内不得具有行贿犯罪记录；</w:t>
      </w:r>
    </w:p>
    <w:p>
      <w:pPr>
        <w:pStyle w:val="9"/>
      </w:pPr>
    </w:p>
    <w:p>
      <w:pPr>
        <w:spacing w:line="360" w:lineRule="auto"/>
        <w:ind w:firstLine="480" w:firstLineChars="200"/>
        <w:jc w:val="left"/>
        <w:rPr>
          <w:rFonts w:ascii="宋体" w:hAnsi="宋体" w:cs="宋体"/>
          <w:sz w:val="24"/>
          <w:szCs w:val="24"/>
        </w:rPr>
      </w:pPr>
      <w:r>
        <w:rPr>
          <w:rFonts w:hint="eastAsia" w:ascii="宋体" w:hAnsi="宋体" w:cs="宋体"/>
          <w:sz w:val="24"/>
          <w:szCs w:val="24"/>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numPr>
          <w:ilvl w:val="0"/>
          <w:numId w:val="6"/>
        </w:numPr>
        <w:spacing w:line="360" w:lineRule="auto"/>
        <w:ind w:firstLine="480" w:firstLineChars="200"/>
        <w:jc w:val="left"/>
        <w:rPr>
          <w:rFonts w:ascii="宋体" w:hAnsi="宋体" w:cs="宋体"/>
          <w:sz w:val="24"/>
          <w:szCs w:val="24"/>
        </w:rPr>
      </w:pPr>
      <w:r>
        <w:rPr>
          <w:rFonts w:hint="eastAsia" w:ascii="宋体" w:hAnsi="宋体" w:cs="宋体"/>
          <w:sz w:val="24"/>
          <w:szCs w:val="24"/>
        </w:rPr>
        <w:t>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rPr>
          <w:rFonts w:hint="eastAsia"/>
        </w:rPr>
      </w:pPr>
      <w:bookmarkStart w:id="35" w:name="_Toc13949"/>
      <w:bookmarkStart w:id="36" w:name="_Toc25219"/>
      <w:r>
        <w:rPr>
          <w:rFonts w:hint="eastAsia"/>
        </w:rPr>
        <w:br w:type="page"/>
      </w:r>
    </w:p>
    <w:p>
      <w:pPr>
        <w:pStyle w:val="4"/>
        <w:spacing w:line="440" w:lineRule="exact"/>
      </w:pPr>
      <w:r>
        <w:rPr>
          <w:rFonts w:hint="eastAsia"/>
        </w:rPr>
        <w:t>第四章 供应商资格证明材料</w:t>
      </w:r>
      <w:bookmarkEnd w:id="35"/>
      <w:bookmarkEnd w:id="36"/>
    </w:p>
    <w:p>
      <w:pPr>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供应商必须按谈判文件中的要求提交相关证明文件，并作为其响应文件的一部分，以证明其有资格参加谈判和成交后有履行合同的能力。 </w:t>
      </w:r>
    </w:p>
    <w:p>
      <w:pPr>
        <w:spacing w:line="440" w:lineRule="exact"/>
        <w:ind w:firstLine="480" w:firstLineChars="200"/>
        <w:jc w:val="left"/>
        <w:rPr>
          <w:rFonts w:ascii="宋体" w:hAnsi="宋体" w:cs="宋体"/>
          <w:b/>
          <w:bCs/>
          <w:sz w:val="24"/>
          <w:szCs w:val="24"/>
        </w:rPr>
      </w:pPr>
      <w:r>
        <w:rPr>
          <w:rFonts w:hint="eastAsia" w:ascii="宋体" w:hAnsi="宋体" w:cs="宋体"/>
          <w:b/>
          <w:bCs/>
          <w:sz w:val="24"/>
          <w:szCs w:val="24"/>
        </w:rPr>
        <w:t xml:space="preserve">一、供应商应当提供的资格、资质性文件及其他类似效力的要求的相关证明材料 </w:t>
      </w:r>
    </w:p>
    <w:p>
      <w:pPr>
        <w:spacing w:line="460" w:lineRule="exact"/>
        <w:ind w:firstLine="540" w:firstLineChars="225"/>
        <w:rPr>
          <w:rFonts w:ascii="宋体" w:hAnsi="宋体" w:cs="宋体"/>
          <w:sz w:val="24"/>
        </w:rPr>
      </w:pPr>
      <w:r>
        <w:rPr>
          <w:rFonts w:hint="eastAsia" w:ascii="宋体" w:hAnsi="宋体" w:cs="宋体"/>
          <w:sz w:val="24"/>
        </w:rPr>
        <w:t>（1）供应商具备《政府采购法》第二十二条规定条件的承诺函原件；</w:t>
      </w:r>
    </w:p>
    <w:p>
      <w:pPr>
        <w:spacing w:line="460" w:lineRule="exact"/>
        <w:ind w:firstLine="540" w:firstLineChars="225"/>
        <w:rPr>
          <w:rFonts w:ascii="宋体" w:hAnsi="宋体" w:cs="宋体"/>
          <w:sz w:val="24"/>
          <w:szCs w:val="22"/>
        </w:rPr>
      </w:pPr>
      <w:r>
        <w:rPr>
          <w:rFonts w:hint="eastAsia" w:ascii="宋体" w:hAnsi="宋体" w:cs="宋体"/>
          <w:sz w:val="24"/>
        </w:rPr>
        <w:t>（2）供应商为企业(包括合伙企业)的提供有效的三证合一(由工商行政管理部门核发一个加载法人和其他组织统一社会信用代码)的营业执照。 如供应商为事业单位的提供事业单位法人证书(复印件),如供应商为非企业专业服务机构的,如律师事务所,提供执业许可证等证明文件、税务登记证(复印件),如为个体工商户的,提供个体工商户营业执照(复印件)、 税务登记证(复印件),如为自然人的提供为中国公民的自</w:t>
      </w:r>
      <w:r>
        <w:rPr>
          <w:rFonts w:hint="eastAsia" w:ascii="宋体" w:hAnsi="宋体" w:cs="宋体"/>
          <w:sz w:val="24"/>
          <w:szCs w:val="22"/>
        </w:rPr>
        <w:t>然人身份证明(复印件)；</w:t>
      </w:r>
    </w:p>
    <w:p>
      <w:pPr>
        <w:spacing w:line="460" w:lineRule="exact"/>
        <w:ind w:firstLine="540" w:firstLineChars="225"/>
        <w:rPr>
          <w:rFonts w:ascii="宋体" w:hAnsi="宋体" w:cs="宋体"/>
          <w:sz w:val="24"/>
          <w:szCs w:val="22"/>
        </w:rPr>
      </w:pPr>
      <w:r>
        <w:rPr>
          <w:rFonts w:hint="eastAsia" w:ascii="宋体" w:hAnsi="宋体" w:cs="宋体"/>
          <w:sz w:val="24"/>
          <w:szCs w:val="22"/>
        </w:rPr>
        <w:t>（3）供应商提供2019年度或2020年度的财务报表，或提供具有良好的商业信誉和健全的财务会计制度的承诺函；</w:t>
      </w:r>
    </w:p>
    <w:p>
      <w:pPr>
        <w:spacing w:line="460" w:lineRule="exact"/>
        <w:ind w:firstLine="540" w:firstLineChars="225"/>
        <w:rPr>
          <w:rFonts w:ascii="宋体" w:hAnsi="宋体" w:cs="宋体"/>
          <w:sz w:val="24"/>
          <w:szCs w:val="22"/>
        </w:rPr>
      </w:pPr>
      <w:r>
        <w:rPr>
          <w:rFonts w:hint="eastAsia" w:ascii="宋体" w:hAnsi="宋体" w:cs="宋体"/>
          <w:sz w:val="24"/>
          <w:szCs w:val="22"/>
        </w:rPr>
        <w:t>（4）参加本采购活动的供应商、法定代表人、主要负责人在前3年内无行贿犯罪记录的承诺函原件，格式自拟，如果发现虚假承诺，作无效响应处理；</w:t>
      </w:r>
    </w:p>
    <w:p>
      <w:pPr>
        <w:spacing w:line="460" w:lineRule="exact"/>
        <w:ind w:firstLine="540" w:firstLineChars="225"/>
        <w:rPr>
          <w:rFonts w:ascii="宋体" w:hAnsi="宋体" w:cs="宋体"/>
          <w:sz w:val="24"/>
        </w:rPr>
      </w:pPr>
      <w:r>
        <w:rPr>
          <w:rFonts w:hint="eastAsia" w:ascii="宋体" w:hAnsi="宋体" w:cs="宋体"/>
          <w:sz w:val="24"/>
          <w:szCs w:val="22"/>
        </w:rPr>
        <w:t>（5）供应商未被列入失信被执行人名单、重大税收</w:t>
      </w:r>
      <w:r>
        <w:rPr>
          <w:rFonts w:hint="eastAsia" w:ascii="宋体" w:hAnsi="宋体" w:cs="宋体"/>
          <w:sz w:val="24"/>
        </w:rPr>
        <w:t>违法案件当事人名单、政府采购严重违法失信行为记录名单的承诺函；</w:t>
      </w:r>
    </w:p>
    <w:p>
      <w:pPr>
        <w:spacing w:line="460" w:lineRule="exact"/>
        <w:ind w:firstLine="540" w:firstLineChars="225"/>
        <w:rPr>
          <w:rFonts w:ascii="宋体" w:hAnsi="宋体" w:cs="宋体"/>
          <w:sz w:val="24"/>
        </w:rPr>
      </w:pPr>
      <w:r>
        <w:rPr>
          <w:rFonts w:hint="eastAsia" w:ascii="宋体" w:hAnsi="宋体" w:cs="宋体"/>
          <w:sz w:val="24"/>
        </w:rPr>
        <w:t>（6）供应商具有良好的商业信誉的承诺函；</w:t>
      </w:r>
    </w:p>
    <w:p>
      <w:pPr>
        <w:spacing w:line="460" w:lineRule="exact"/>
        <w:ind w:firstLine="540" w:firstLineChars="225"/>
        <w:rPr>
          <w:rFonts w:ascii="宋体" w:hAnsi="宋体" w:cs="宋体"/>
          <w:sz w:val="24"/>
        </w:rPr>
      </w:pPr>
      <w:r>
        <w:rPr>
          <w:rFonts w:hint="eastAsia" w:ascii="宋体" w:hAnsi="宋体" w:cs="宋体"/>
          <w:sz w:val="24"/>
        </w:rPr>
        <w:t>（7）供应商具有履行合同所必需的设备和专业技术能力的承诺函；</w:t>
      </w:r>
    </w:p>
    <w:p>
      <w:pPr>
        <w:spacing w:line="460" w:lineRule="exact"/>
        <w:ind w:firstLine="540" w:firstLineChars="225"/>
      </w:pPr>
      <w:r>
        <w:rPr>
          <w:rFonts w:hint="eastAsia" w:ascii="宋体" w:hAnsi="宋体" w:cs="宋体"/>
          <w:sz w:val="24"/>
        </w:rPr>
        <w:t>（8）供应商具有依法缴纳税收和社会保障资金的良好记录的承诺函；</w:t>
      </w:r>
    </w:p>
    <w:p>
      <w:pPr>
        <w:spacing w:line="440" w:lineRule="exact"/>
        <w:ind w:firstLine="540" w:firstLineChars="225"/>
        <w:rPr>
          <w:rFonts w:ascii="宋体" w:hAnsi="宋体" w:cs="宋体"/>
          <w:sz w:val="24"/>
        </w:rPr>
      </w:pPr>
      <w:r>
        <w:rPr>
          <w:rFonts w:hint="eastAsia" w:ascii="宋体" w:hAnsi="宋体" w:cs="宋体"/>
          <w:sz w:val="24"/>
        </w:rPr>
        <w:t>（9）供应商未为采购人、采购代理机构在确定采购需求、编制谈判文件过程中提供咨询论证或提供项目管理、监理、检测等服务的承诺函；</w:t>
      </w:r>
    </w:p>
    <w:p>
      <w:pPr>
        <w:spacing w:line="440" w:lineRule="exact"/>
        <w:ind w:firstLine="540" w:firstLineChars="225"/>
        <w:rPr>
          <w:rFonts w:ascii="宋体" w:hAnsi="宋体" w:cs="宋体"/>
          <w:sz w:val="24"/>
        </w:rPr>
      </w:pPr>
      <w:r>
        <w:rPr>
          <w:rFonts w:hint="eastAsia" w:ascii="宋体" w:hAnsi="宋体" w:cs="宋体"/>
          <w:sz w:val="24"/>
        </w:rPr>
        <w:t>（10）供应商法定代表人（或负责人）授权书（法定代表人参加谈判不提供）；</w:t>
      </w:r>
    </w:p>
    <w:p>
      <w:pPr>
        <w:spacing w:line="440" w:lineRule="exact"/>
        <w:ind w:firstLine="540" w:firstLineChars="225"/>
        <w:rPr>
          <w:rFonts w:ascii="宋体" w:hAnsi="宋体" w:cs="宋体"/>
          <w:sz w:val="24"/>
        </w:rPr>
      </w:pPr>
      <w:r>
        <w:rPr>
          <w:rFonts w:hint="eastAsia" w:ascii="宋体" w:hAnsi="宋体" w:cs="宋体"/>
          <w:sz w:val="24"/>
        </w:rPr>
        <w:t>（11）供应商法定代表人（或负责人）身份证明；</w:t>
      </w:r>
    </w:p>
    <w:p>
      <w:pPr>
        <w:spacing w:line="440" w:lineRule="exact"/>
        <w:ind w:firstLine="480" w:firstLineChars="200"/>
        <w:jc w:val="left"/>
        <w:rPr>
          <w:rFonts w:ascii="宋体" w:hAnsi="宋体" w:cs="宋体"/>
          <w:sz w:val="24"/>
          <w:szCs w:val="24"/>
        </w:rPr>
      </w:pPr>
    </w:p>
    <w:p>
      <w:pPr>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注：以上复印件需加盖供应商公章。 </w:t>
      </w:r>
    </w:p>
    <w:p>
      <w:pPr>
        <w:pStyle w:val="9"/>
        <w:rPr>
          <w:rFonts w:ascii="宋体" w:hAnsi="宋体" w:cs="宋体"/>
          <w:sz w:val="24"/>
          <w:szCs w:val="24"/>
        </w:rPr>
      </w:pPr>
    </w:p>
    <w:p/>
    <w:p>
      <w:pPr>
        <w:rPr>
          <w:rFonts w:hint="eastAsia"/>
        </w:rPr>
      </w:pPr>
      <w:bookmarkStart w:id="37" w:name="_Toc11648"/>
      <w:bookmarkStart w:id="38" w:name="_Toc26051"/>
      <w:r>
        <w:rPr>
          <w:rFonts w:hint="eastAsia"/>
        </w:rPr>
        <w:br w:type="page"/>
      </w:r>
    </w:p>
    <w:p>
      <w:pPr>
        <w:pStyle w:val="4"/>
        <w:bidi w:val="0"/>
      </w:pPr>
      <w:r>
        <w:rPr>
          <w:rFonts w:hint="eastAsia"/>
        </w:rPr>
        <w:t>第五章 采购项目技术、服务、采购合同内容条款及其他商</w:t>
      </w:r>
      <w:bookmarkEnd w:id="37"/>
      <w:bookmarkStart w:id="39" w:name="_Toc17439"/>
      <w:r>
        <w:rPr>
          <w:rFonts w:hint="eastAsia"/>
        </w:rPr>
        <w:t>务要求</w:t>
      </w:r>
      <w:bookmarkEnd w:id="38"/>
      <w:bookmarkEnd w:id="39"/>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一、技术、服务要求</w:t>
      </w:r>
    </w:p>
    <w:p>
      <w:pPr>
        <w:spacing w:line="36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因我馆装修存在一定的老化</w:t>
      </w:r>
      <w:r>
        <w:rPr>
          <w:rFonts w:hint="eastAsia" w:ascii="宋体" w:hAnsi="宋体" w:cs="宋体"/>
          <w:sz w:val="24"/>
          <w:szCs w:val="24"/>
          <w:lang w:eastAsia="zh-CN"/>
        </w:rPr>
        <w:t>，</w:t>
      </w:r>
      <w:r>
        <w:rPr>
          <w:rFonts w:hint="eastAsia" w:ascii="宋体" w:hAnsi="宋体" w:cs="宋体"/>
          <w:sz w:val="24"/>
          <w:szCs w:val="24"/>
          <w:lang w:val="en-US" w:eastAsia="zh-CN"/>
        </w:rPr>
        <w:t>且为了改善当前馆内地面空间的利用率</w:t>
      </w:r>
      <w:r>
        <w:rPr>
          <w:rFonts w:hint="eastAsia" w:ascii="宋体" w:hAnsi="宋体" w:cs="宋体"/>
          <w:sz w:val="24"/>
          <w:szCs w:val="24"/>
          <w:lang w:eastAsia="zh-CN"/>
        </w:rPr>
        <w:t>，根据</w:t>
      </w:r>
      <w:r>
        <w:rPr>
          <w:rFonts w:hint="eastAsia" w:ascii="宋体" w:hAnsi="宋体" w:cs="宋体"/>
          <w:sz w:val="24"/>
          <w:szCs w:val="24"/>
          <w:lang w:val="en-US" w:eastAsia="zh-CN"/>
        </w:rPr>
        <w:t>市领导的</w:t>
      </w:r>
      <w:r>
        <w:rPr>
          <w:rFonts w:hint="eastAsia" w:ascii="宋体" w:hAnsi="宋体" w:cs="宋体"/>
          <w:sz w:val="24"/>
          <w:szCs w:val="24"/>
          <w:lang w:eastAsia="zh-CN"/>
        </w:rPr>
        <w:t>相关要求，拟对</w:t>
      </w:r>
      <w:r>
        <w:rPr>
          <w:rFonts w:hint="eastAsia" w:ascii="宋体" w:hAnsi="宋体" w:cs="宋体"/>
          <w:sz w:val="24"/>
          <w:szCs w:val="24"/>
          <w:lang w:val="en-US" w:eastAsia="zh-CN"/>
        </w:rPr>
        <w:t>我管的地面空间书面及软装进行一定的利用及更新。</w:t>
      </w:r>
    </w:p>
    <w:p>
      <w:pPr>
        <w:spacing w:line="360" w:lineRule="exact"/>
        <w:ind w:firstLine="480" w:firstLineChars="200"/>
        <w:rPr>
          <w:rFonts w:ascii="宋体" w:hAnsi="宋体" w:cs="宋体"/>
          <w:sz w:val="24"/>
          <w:szCs w:val="24"/>
        </w:rPr>
      </w:pPr>
      <w:r>
        <w:rPr>
          <w:rFonts w:hint="eastAsia" w:ascii="宋体" w:hAnsi="宋体" w:cs="宋体"/>
          <w:sz w:val="24"/>
          <w:szCs w:val="24"/>
        </w:rPr>
        <w:t>6.针对本项目的其他技术、服务要求：无</w:t>
      </w:r>
    </w:p>
    <w:p>
      <w:pPr>
        <w:widowControl w:val="0"/>
        <w:textAlignment w:val="baseline"/>
        <w:rPr>
          <w:rFonts w:asciiTheme="minorEastAsia" w:hAnsiTheme="minorEastAsia" w:eastAsiaTheme="minorEastAsia" w:cstheme="minorEastAsia"/>
          <w:sz w:val="22"/>
          <w:szCs w:val="22"/>
        </w:rPr>
      </w:pPr>
    </w:p>
    <w:p>
      <w:pPr>
        <w:spacing w:line="400" w:lineRule="exact"/>
        <w:rPr>
          <w:rFonts w:ascii="宋体" w:hAnsi="宋体" w:cs="宋体"/>
          <w:sz w:val="24"/>
          <w:szCs w:val="24"/>
        </w:rPr>
      </w:pPr>
      <w:r>
        <w:rPr>
          <w:rFonts w:hint="eastAsia" w:ascii="宋体" w:hAnsi="宋体" w:cs="宋体"/>
          <w:b/>
          <w:bCs/>
          <w:sz w:val="24"/>
          <w:szCs w:val="24"/>
        </w:rPr>
        <w:t>二、商务要求</w:t>
      </w:r>
      <w:r>
        <w:rPr>
          <w:rFonts w:hint="eastAsia" w:ascii="宋体" w:hAnsi="宋体" w:cs="宋体"/>
          <w:sz w:val="24"/>
          <w:szCs w:val="24"/>
        </w:rPr>
        <w:t>：</w:t>
      </w:r>
    </w:p>
    <w:p>
      <w:pPr>
        <w:spacing w:line="400" w:lineRule="exact"/>
        <w:ind w:firstLine="480" w:firstLineChars="200"/>
        <w:jc w:val="left"/>
        <w:rPr>
          <w:rFonts w:ascii="宋体" w:hAnsi="宋体" w:cs="宋体"/>
          <w:sz w:val="24"/>
          <w:szCs w:val="24"/>
        </w:rPr>
      </w:pPr>
      <w:r>
        <w:rPr>
          <w:rFonts w:hint="eastAsia" w:ascii="宋体" w:hAnsi="宋体" w:cs="宋体"/>
          <w:bCs/>
          <w:sz w:val="24"/>
        </w:rPr>
        <w:t>1、</w:t>
      </w:r>
      <w:r>
        <w:rPr>
          <w:rFonts w:hint="eastAsia" w:ascii="宋体" w:hAnsi="宋体" w:cs="宋体"/>
          <w:sz w:val="24"/>
          <w:szCs w:val="24"/>
        </w:rPr>
        <w:t>本项目</w:t>
      </w:r>
      <w:r>
        <w:rPr>
          <w:rFonts w:hint="eastAsia" w:ascii="宋体" w:hAnsi="宋体" w:cs="宋体"/>
          <w:sz w:val="24"/>
          <w:szCs w:val="24"/>
          <w:lang w:val="en-US" w:eastAsia="zh-CN"/>
        </w:rPr>
        <w:t>质量</w:t>
      </w:r>
      <w:r>
        <w:rPr>
          <w:rFonts w:hint="eastAsia" w:ascii="宋体" w:hAnsi="宋体" w:cs="宋体"/>
          <w:sz w:val="24"/>
          <w:szCs w:val="24"/>
        </w:rPr>
        <w:t>要求：</w:t>
      </w:r>
      <w:r>
        <w:rPr>
          <w:rFonts w:hint="eastAsia" w:ascii="宋体" w:hAnsi="宋体" w:cs="宋体"/>
          <w:color w:val="auto"/>
          <w:sz w:val="24"/>
          <w:szCs w:val="24"/>
          <w:highlight w:val="none"/>
          <w:lang w:val="en-US" w:eastAsia="zh-CN"/>
        </w:rPr>
        <w:t>通过采购人组织的验收，达到合格标准。</w:t>
      </w:r>
    </w:p>
    <w:p>
      <w:pPr>
        <w:spacing w:line="400" w:lineRule="exact"/>
        <w:ind w:firstLine="480" w:firstLineChars="200"/>
        <w:rPr>
          <w:rFonts w:ascii="宋体" w:hAnsi="宋体" w:cs="宋体"/>
          <w:sz w:val="24"/>
          <w:szCs w:val="24"/>
        </w:rPr>
      </w:pPr>
      <w:r>
        <w:rPr>
          <w:rFonts w:hint="eastAsia" w:ascii="宋体" w:hAnsi="宋体" w:cs="宋体"/>
          <w:sz w:val="24"/>
          <w:szCs w:val="24"/>
        </w:rPr>
        <w:t>2、安全管理要求及法律责任：供应商应结合本项目的特点及自身管理经验，拟定详尽、科学、合理、操作性强的安全生产及安全防卫措施。</w:t>
      </w:r>
    </w:p>
    <w:p>
      <w:pPr>
        <w:spacing w:line="400" w:lineRule="exact"/>
        <w:ind w:firstLine="480" w:firstLineChars="200"/>
        <w:jc w:val="left"/>
        <w:rPr>
          <w:rFonts w:ascii="宋体" w:hAnsi="宋体" w:cs="宋体"/>
          <w:bCs/>
          <w:sz w:val="24"/>
        </w:rPr>
      </w:pPr>
      <w:r>
        <w:rPr>
          <w:rFonts w:hint="eastAsia" w:ascii="宋体" w:hAnsi="宋体" w:cs="宋体"/>
          <w:bCs/>
          <w:sz w:val="24"/>
        </w:rPr>
        <w:t>3、付款方式：</w:t>
      </w:r>
      <w:r>
        <w:rPr>
          <w:rFonts w:hint="eastAsia" w:ascii="宋体" w:hAnsi="宋体" w:cs="宋体"/>
          <w:b w:val="0"/>
          <w:bCs/>
          <w:color w:val="auto"/>
          <w:sz w:val="24"/>
          <w:szCs w:val="22"/>
          <w:highlight w:val="none"/>
          <w:lang w:val="en-US" w:eastAsia="zh-CN"/>
        </w:rPr>
        <w:t>工程竣工验收合格后一次性无息支付</w:t>
      </w:r>
      <w:r>
        <w:rPr>
          <w:rFonts w:hint="eastAsia" w:ascii="宋体" w:hAnsi="宋体" w:cs="宋体"/>
          <w:bCs/>
          <w:sz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（1）供应商须在响应文件中承诺：严格遵守和执行《中华人民共和国政府采购法》、《中华人民共和国劳动法》、《中华人民共和国劳动合同法》和其他有关法律、法规及规章制度。</w:t>
      </w:r>
    </w:p>
    <w:p>
      <w:pPr>
        <w:spacing w:line="400" w:lineRule="exact"/>
        <w:ind w:firstLine="480" w:firstLineChars="200"/>
        <w:rPr>
          <w:rFonts w:ascii="宋体" w:hAnsi="宋体" w:cs="宋体"/>
          <w:sz w:val="24"/>
          <w:szCs w:val="24"/>
        </w:rPr>
      </w:pPr>
      <w:r>
        <w:rPr>
          <w:rFonts w:hint="eastAsia" w:ascii="宋体" w:hAnsi="宋体" w:cs="宋体"/>
          <w:sz w:val="24"/>
          <w:szCs w:val="24"/>
        </w:rPr>
        <w:t>（2）供应商须在响应文件中承诺：承担本项目服务过程中所发生的所有安全事故责任、法律责任和赔偿责任。包括：其聘用的所有工作人员劳动用工安全事故、因操作不规范等因素造成的安全责任事故、与本项目相关的其他安全事故。</w:t>
      </w:r>
    </w:p>
    <w:p>
      <w:pPr>
        <w:pStyle w:val="9"/>
        <w:rPr>
          <w:rFonts w:ascii="宋体" w:hAnsi="宋体" w:cs="宋体"/>
          <w:sz w:val="24"/>
          <w:szCs w:val="24"/>
        </w:rPr>
      </w:pPr>
    </w:p>
    <w:p>
      <w:pPr>
        <w:bidi w:val="0"/>
      </w:pPr>
    </w:p>
    <w:p>
      <w:pPr>
        <w:bidi w:val="0"/>
      </w:pPr>
    </w:p>
    <w:p>
      <w:pPr>
        <w:bidi w:val="0"/>
      </w:pPr>
    </w:p>
    <w:p>
      <w:pPr>
        <w:pStyle w:val="2"/>
      </w:pPr>
    </w:p>
    <w:p/>
    <w:p>
      <w:pPr>
        <w:pStyle w:val="2"/>
      </w:pPr>
    </w:p>
    <w:p/>
    <w:p>
      <w:pPr>
        <w:pStyle w:val="2"/>
      </w:pPr>
    </w:p>
    <w:p>
      <w:pPr>
        <w:pStyle w:val="4"/>
        <w:rPr>
          <w:highlight w:val="red"/>
        </w:rPr>
      </w:pPr>
      <w:bookmarkStart w:id="40" w:name="_Toc19008"/>
      <w:bookmarkStart w:id="41" w:name="_Toc21751"/>
      <w:r>
        <w:rPr>
          <w:rFonts w:hint="eastAsia"/>
          <w:highlight w:val="red"/>
        </w:rPr>
        <w:t>第六章 响应文件格式</w:t>
      </w:r>
      <w:bookmarkEnd w:id="40"/>
      <w:bookmarkEnd w:id="41"/>
    </w:p>
    <w:p>
      <w:pPr>
        <w:spacing w:line="360" w:lineRule="auto"/>
        <w:ind w:firstLine="480" w:firstLineChars="200"/>
        <w:jc w:val="left"/>
        <w:rPr>
          <w:rFonts w:ascii="宋体" w:hAnsi="宋体" w:cs="宋体"/>
          <w:sz w:val="24"/>
          <w:szCs w:val="24"/>
        </w:rPr>
      </w:pPr>
      <w:r>
        <w:rPr>
          <w:rFonts w:hint="eastAsia" w:ascii="宋体" w:hAnsi="宋体" w:cs="宋体"/>
          <w:sz w:val="24"/>
          <w:szCs w:val="24"/>
        </w:rPr>
        <w:t>一、本章所制响应文件格式，除格式中明确将该格式作为实质性要求的，一律不具有强制性。</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二、本章所制响应文件格式有关表格中的备注栏，由供应商根据自身响应情况作解释性说明，不作为必填项。（如果供应商响应文件中已经去掉备注而无其他解释性说明，则视为完全理解并同意备注中的要求）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三、本章所制响应文件格式中需要填写的相关内容事项，可能会与本采购项目无关，在不改变响应文件原义、不影响本项目采购需求的情况下，供应商可以不予填写，但应当注明。</w:t>
      </w: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pStyle w:val="9"/>
        <w:rPr>
          <w:rFonts w:ascii="宋体" w:hAnsi="宋体" w:cs="宋体"/>
          <w:sz w:val="24"/>
          <w:szCs w:val="24"/>
        </w:rPr>
      </w:pPr>
    </w:p>
    <w:p>
      <w:pPr>
        <w:bidi w:val="0"/>
      </w:pPr>
    </w:p>
    <w:p>
      <w:pPr>
        <w:bidi w:val="0"/>
      </w:pPr>
    </w:p>
    <w:p>
      <w:pPr>
        <w:bidi w:val="0"/>
      </w:pPr>
    </w:p>
    <w:p>
      <w:pPr>
        <w:bidi w:val="0"/>
      </w:pPr>
    </w:p>
    <w:p>
      <w:pPr>
        <w:bidi w:val="0"/>
      </w:pPr>
      <w:r>
        <w:br w:type="page"/>
      </w:r>
    </w:p>
    <w:p>
      <w:pPr>
        <w:pStyle w:val="5"/>
        <w:bidi w:val="0"/>
        <w:rPr>
          <w:rFonts w:hint="eastAsia"/>
          <w:lang w:eastAsia="zh-CN"/>
        </w:rPr>
      </w:pPr>
      <w:bookmarkStart w:id="42" w:name="_Toc15745"/>
      <w:bookmarkStart w:id="43" w:name="_Toc7590"/>
      <w:bookmarkStart w:id="44" w:name="_Toc8028"/>
      <w:bookmarkStart w:id="45" w:name="_Toc12528"/>
      <w:r>
        <w:rPr>
          <w:rFonts w:hint="eastAsia"/>
          <w:lang w:eastAsia="zh-CN"/>
        </w:rPr>
        <w:t>资格性响应文件封面</w:t>
      </w:r>
      <w:bookmarkEnd w:id="42"/>
      <w:bookmarkEnd w:id="43"/>
      <w:bookmarkEnd w:id="44"/>
      <w:bookmarkEnd w:id="45"/>
    </w:p>
    <w:p>
      <w:pPr>
        <w:rPr>
          <w:rFonts w:hint="eastAsia" w:ascii="仿宋" w:hAnsi="仿宋" w:eastAsia="仿宋"/>
          <w:kern w:val="0"/>
          <w:sz w:val="24"/>
          <w:szCs w:val="24"/>
        </w:rPr>
      </w:pPr>
      <w:r>
        <w:rPr>
          <w:rFonts w:hint="eastAsia" w:ascii="仿宋" w:hAnsi="仿宋" w:eastAsia="仿宋"/>
          <w:kern w:val="0"/>
          <w:sz w:val="24"/>
        </w:rPr>
        <w:t xml:space="preserve">                                                                    </w:t>
      </w:r>
    </w:p>
    <w:p>
      <w:pPr>
        <w:rPr>
          <w:rFonts w:hint="eastAsia" w:ascii="仿宋" w:hAnsi="仿宋" w:eastAsia="仿宋"/>
          <w:kern w:val="0"/>
          <w:sz w:val="24"/>
        </w:rPr>
      </w:pPr>
    </w:p>
    <w:p>
      <w:pPr>
        <w:rPr>
          <w:rFonts w:hint="eastAsia" w:ascii="仿宋" w:hAnsi="仿宋" w:eastAsia="仿宋"/>
          <w:kern w:val="0"/>
          <w:sz w:val="24"/>
        </w:rPr>
      </w:pPr>
    </w:p>
    <w:p>
      <w:pPr>
        <w:jc w:val="right"/>
        <w:rPr>
          <w:rFonts w:hint="eastAsia" w:ascii="仿宋" w:hAnsi="仿宋" w:eastAsia="仿宋"/>
          <w:kern w:val="0"/>
          <w:sz w:val="24"/>
        </w:rPr>
      </w:pPr>
      <w:r>
        <w:rPr>
          <w:rFonts w:hint="eastAsia" w:ascii="仿宋" w:hAnsi="仿宋" w:eastAsia="仿宋"/>
          <w:kern w:val="0"/>
          <w:sz w:val="24"/>
        </w:rPr>
        <w:t xml:space="preserve">  正本/副本</w:t>
      </w: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jc w:val="center"/>
        <w:rPr>
          <w:rFonts w:hint="eastAsia" w:ascii="仿宋" w:hAnsi="仿宋" w:eastAsia="仿宋"/>
          <w:kern w:val="0"/>
          <w:sz w:val="52"/>
          <w:szCs w:val="52"/>
        </w:rPr>
      </w:pPr>
      <w:bookmarkStart w:id="46" w:name="_Toc32170"/>
      <w:bookmarkStart w:id="47" w:name="_Toc18584"/>
      <w:r>
        <w:rPr>
          <w:rFonts w:hint="eastAsia" w:ascii="仿宋" w:hAnsi="仿宋" w:eastAsia="仿宋"/>
          <w:kern w:val="0"/>
          <w:sz w:val="52"/>
          <w:szCs w:val="52"/>
        </w:rPr>
        <w:t>资格性响应文件</w:t>
      </w:r>
      <w:bookmarkEnd w:id="46"/>
      <w:bookmarkEnd w:id="47"/>
    </w:p>
    <w:p>
      <w:pPr>
        <w:rPr>
          <w:rFonts w:hint="eastAsia" w:ascii="仿宋" w:hAnsi="仿宋" w:eastAsia="仿宋"/>
          <w:kern w:val="0"/>
          <w:sz w:val="24"/>
          <w:szCs w:val="24"/>
        </w:rPr>
      </w:pPr>
    </w:p>
    <w:p>
      <w:pPr>
        <w:rPr>
          <w:rFonts w:hint="eastAsia" w:ascii="仿宋" w:hAnsi="仿宋" w:eastAsia="仿宋"/>
          <w:spacing w:val="78"/>
          <w:kern w:val="0"/>
          <w:sz w:val="24"/>
        </w:rPr>
      </w:pPr>
    </w:p>
    <w:p>
      <w:pPr>
        <w:rPr>
          <w:rFonts w:hint="eastAsia" w:ascii="仿宋" w:hAnsi="仿宋" w:eastAsia="仿宋"/>
          <w:spacing w:val="78"/>
          <w:kern w:val="0"/>
          <w:sz w:val="24"/>
        </w:rPr>
      </w:pPr>
    </w:p>
    <w:p>
      <w:pPr>
        <w:rPr>
          <w:rFonts w:hint="eastAsia" w:ascii="仿宋" w:hAnsi="仿宋" w:eastAsia="仿宋"/>
          <w:spacing w:val="78"/>
          <w:kern w:val="0"/>
          <w:sz w:val="24"/>
        </w:rPr>
      </w:pPr>
    </w:p>
    <w:p>
      <w:pPr>
        <w:rPr>
          <w:rFonts w:hint="eastAsia" w:ascii="仿宋" w:hAnsi="仿宋" w:eastAsia="仿宋"/>
          <w:spacing w:val="78"/>
          <w:kern w:val="0"/>
          <w:sz w:val="28"/>
          <w:szCs w:val="28"/>
        </w:rPr>
      </w:pPr>
    </w:p>
    <w:p>
      <w:pPr>
        <w:rPr>
          <w:rFonts w:hint="eastAsia" w:ascii="仿宋" w:hAnsi="仿宋" w:eastAsia="仿宋"/>
          <w:spacing w:val="78"/>
          <w:kern w:val="0"/>
          <w:sz w:val="28"/>
          <w:szCs w:val="28"/>
        </w:rPr>
      </w:pPr>
      <w:r>
        <w:rPr>
          <w:rFonts w:hint="eastAsia" w:ascii="仿宋" w:hAnsi="仿宋" w:eastAsia="仿宋"/>
          <w:spacing w:val="78"/>
          <w:kern w:val="0"/>
          <w:sz w:val="28"/>
          <w:szCs w:val="28"/>
        </w:rPr>
        <w:t>采购项目名称：</w:t>
      </w:r>
    </w:p>
    <w:p>
      <w:pPr>
        <w:rPr>
          <w:rFonts w:hint="eastAsia" w:ascii="仿宋" w:hAnsi="仿宋" w:eastAsia="仿宋"/>
          <w:spacing w:val="78"/>
          <w:kern w:val="0"/>
          <w:sz w:val="28"/>
          <w:szCs w:val="28"/>
        </w:rPr>
      </w:pPr>
      <w:r>
        <w:rPr>
          <w:rFonts w:hint="eastAsia" w:ascii="仿宋" w:hAnsi="仿宋" w:eastAsia="仿宋"/>
          <w:spacing w:val="78"/>
          <w:kern w:val="0"/>
          <w:sz w:val="28"/>
          <w:szCs w:val="28"/>
        </w:rPr>
        <w:t xml:space="preserve">采购项目编号： </w:t>
      </w:r>
    </w:p>
    <w:p>
      <w:pPr>
        <w:rPr>
          <w:rFonts w:hint="eastAsia" w:ascii="仿宋" w:hAnsi="仿宋" w:eastAsia="仿宋"/>
          <w:kern w:val="0"/>
          <w:sz w:val="28"/>
          <w:szCs w:val="28"/>
        </w:rPr>
      </w:pPr>
    </w:p>
    <w:p>
      <w:pPr>
        <w:rPr>
          <w:rFonts w:hint="eastAsia" w:ascii="仿宋" w:hAnsi="仿宋" w:eastAsia="仿宋"/>
          <w:kern w:val="0"/>
          <w:sz w:val="28"/>
          <w:szCs w:val="28"/>
        </w:rPr>
      </w:pPr>
      <w:bookmarkStart w:id="48" w:name="_Toc2220"/>
      <w:bookmarkStart w:id="49" w:name="_Toc1234"/>
      <w:r>
        <w:rPr>
          <w:rFonts w:hint="eastAsia" w:ascii="仿宋" w:hAnsi="仿宋" w:eastAsia="仿宋"/>
          <w:kern w:val="0"/>
          <w:sz w:val="28"/>
          <w:szCs w:val="28"/>
        </w:rPr>
        <w:t>供应商名称（加盖公章）：</w:t>
      </w:r>
      <w:bookmarkEnd w:id="48"/>
      <w:bookmarkEnd w:id="49"/>
    </w:p>
    <w:p>
      <w:pPr>
        <w:rPr>
          <w:rFonts w:hint="eastAsia" w:ascii="仿宋" w:hAnsi="仿宋" w:eastAsia="仿宋"/>
          <w:kern w:val="0"/>
          <w:sz w:val="28"/>
          <w:szCs w:val="28"/>
        </w:rPr>
      </w:pPr>
      <w:bookmarkStart w:id="50" w:name="_Toc22894"/>
      <w:bookmarkStart w:id="51" w:name="_Toc24968"/>
      <w:r>
        <w:rPr>
          <w:rFonts w:hint="eastAsia" w:ascii="仿宋" w:hAnsi="仿宋" w:eastAsia="仿宋"/>
          <w:kern w:val="0"/>
          <w:sz w:val="28"/>
          <w:szCs w:val="28"/>
        </w:rPr>
        <w:t>时    间：  年   月   日</w:t>
      </w:r>
      <w:bookmarkEnd w:id="50"/>
      <w:bookmarkEnd w:id="51"/>
    </w:p>
    <w:p>
      <w:pPr>
        <w:jc w:val="left"/>
        <w:rPr>
          <w:rFonts w:ascii="仿宋" w:hAnsi="仿宋" w:eastAsia="仿宋" w:cs="仿宋"/>
          <w:b/>
          <w:sz w:val="28"/>
          <w:szCs w:val="28"/>
        </w:rPr>
        <w:sectPr>
          <w:pgSz w:w="11907" w:h="16839"/>
          <w:pgMar w:top="1440" w:right="1800" w:bottom="1440" w:left="1800" w:header="851" w:footer="992" w:gutter="0"/>
          <w:pgNumType w:fmt="decimal"/>
          <w:cols w:space="720" w:num="1"/>
          <w:docGrid w:type="linesAndChars" w:linePitch="312" w:charSpace="0"/>
        </w:sectPr>
      </w:pPr>
    </w:p>
    <w:p>
      <w:pPr>
        <w:pStyle w:val="5"/>
        <w:bidi w:val="0"/>
        <w:rPr>
          <w:rFonts w:hint="eastAsia"/>
          <w:lang w:eastAsia="zh-CN"/>
        </w:rPr>
      </w:pPr>
      <w:bookmarkStart w:id="52" w:name="_Toc12267"/>
      <w:bookmarkStart w:id="53" w:name="_Toc12042"/>
      <w:bookmarkStart w:id="54" w:name="_Toc23155"/>
      <w:bookmarkStart w:id="55" w:name="_Toc25370"/>
      <w:r>
        <w:rPr>
          <w:rFonts w:hint="eastAsia"/>
          <w:lang w:eastAsia="zh-CN"/>
        </w:rPr>
        <w:t>一、关于资格的声明函</w:t>
      </w:r>
      <w:bookmarkEnd w:id="52"/>
      <w:bookmarkEnd w:id="53"/>
      <w:bookmarkEnd w:id="54"/>
      <w:bookmarkEnd w:id="55"/>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四川艮鑫工程项目管理有限公司</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关于贵方</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）谈判邀请，本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（签字人）愿意参加谈判，提供谈判文件“采购项目技术、服务、</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合同内容条款及其他商务要求”中规定的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（项目名称）货物/服务/工程，本签字人确认资格文件中的说明以及响应文件中所有提交的文件和材料是真实的、准确的。 </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或授权代表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rPr>
          <w:rFonts w:hint="eastAsia"/>
          <w:lang w:val="en-US" w:eastAsia="zh-CN"/>
        </w:rPr>
      </w:pPr>
      <w:r>
        <w:rPr>
          <w:rFonts w:hint="eastAsia"/>
          <w:lang w:val="en-US" w:eastAsia="zh-CN"/>
        </w:rPr>
        <w:br w:type="page"/>
      </w:r>
    </w:p>
    <w:p>
      <w:pPr>
        <w:pStyle w:val="5"/>
        <w:bidi w:val="0"/>
        <w:rPr>
          <w:rFonts w:hint="eastAsia"/>
          <w:lang w:eastAsia="zh-CN"/>
        </w:rPr>
      </w:pPr>
      <w:bookmarkStart w:id="56" w:name="_Toc32316"/>
      <w:bookmarkStart w:id="57" w:name="_Toc10997"/>
      <w:bookmarkStart w:id="58" w:name="_Toc16859"/>
      <w:bookmarkStart w:id="59" w:name="_Toc29635"/>
      <w:r>
        <w:rPr>
          <w:rFonts w:hint="eastAsia"/>
          <w:lang w:eastAsia="zh-CN"/>
        </w:rPr>
        <w:t>二、法定代表人身份证明书</w:t>
      </w:r>
      <w:bookmarkEnd w:id="56"/>
      <w:bookmarkEnd w:id="57"/>
      <w:bookmarkEnd w:id="58"/>
      <w:bookmarkEnd w:id="59"/>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四川艮鑫工程项目管理有限公司</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（法定代表人姓名） </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 xml:space="preserve">名称） </w:t>
      </w:r>
      <w:r>
        <w:rPr>
          <w:rFonts w:hint="eastAsia" w:ascii="宋体" w:hAnsi="宋体" w:eastAsia="宋体" w:cs="宋体"/>
          <w:color w:val="auto"/>
          <w:sz w:val="24"/>
          <w:szCs w:val="24"/>
          <w:highlight w:val="none"/>
        </w:rPr>
        <w:t>处任</w:t>
      </w:r>
      <w:r>
        <w:rPr>
          <w:rFonts w:hint="eastAsia" w:ascii="宋体" w:hAnsi="宋体" w:eastAsia="宋体" w:cs="宋体"/>
          <w:color w:val="auto"/>
          <w:sz w:val="24"/>
          <w:szCs w:val="24"/>
          <w:highlight w:val="none"/>
          <w:u w:val="single"/>
        </w:rPr>
        <w:t xml:space="preserve">（职务名称） </w:t>
      </w:r>
      <w:r>
        <w:rPr>
          <w:rFonts w:hint="eastAsia" w:ascii="宋体" w:hAnsi="宋体" w:eastAsia="宋体" w:cs="宋体"/>
          <w:color w:val="auto"/>
          <w:sz w:val="24"/>
          <w:szCs w:val="24"/>
          <w:highlight w:val="none"/>
        </w:rPr>
        <w:t>职务，是</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 xml:space="preserve"> 的法定代表人/单位负责人。</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附：法定代表人身份证复印件（提供其在有效期的材料，居民身份证正、反面复印件）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的法定代表人为外籍人士的，则需提供护照复印件。</w:t>
      </w:r>
    </w:p>
    <w:p>
      <w:pPr>
        <w:spacing w:beforeLines="0" w:afterLines="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（签字）</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bidi w:val="0"/>
        <w:rPr>
          <w:rFonts w:hint="eastAsia"/>
          <w:lang w:val="en-US" w:eastAsia="zh-CN"/>
        </w:rPr>
      </w:pPr>
    </w:p>
    <w:p>
      <w:pPr>
        <w:bidi w:val="0"/>
        <w:rPr>
          <w:rFonts w:hint="eastAsia"/>
          <w:lang w:val="en-US"/>
        </w:rPr>
      </w:pPr>
      <w:r>
        <w:rPr>
          <w:rFonts w:hint="eastAsia"/>
          <w:lang w:val="en-US"/>
        </w:rPr>
        <w:br w:type="page"/>
      </w:r>
    </w:p>
    <w:p>
      <w:pPr>
        <w:pStyle w:val="5"/>
        <w:bidi w:val="0"/>
        <w:rPr>
          <w:rFonts w:hint="eastAsia"/>
          <w:lang w:eastAsia="zh-CN"/>
        </w:rPr>
      </w:pPr>
      <w:bookmarkStart w:id="60" w:name="_Toc11725"/>
      <w:bookmarkStart w:id="61" w:name="_Toc31499"/>
      <w:bookmarkStart w:id="62" w:name="_Toc2071"/>
      <w:bookmarkStart w:id="63" w:name="_Toc16900"/>
      <w:r>
        <w:rPr>
          <w:rFonts w:hint="eastAsia"/>
          <w:lang w:eastAsia="zh-CN"/>
        </w:rPr>
        <w:t>三、法定代表人授权书</w:t>
      </w:r>
      <w:bookmarkEnd w:id="60"/>
      <w:bookmarkEnd w:id="61"/>
      <w:bookmarkEnd w:id="62"/>
      <w:bookmarkEnd w:id="63"/>
    </w:p>
    <w:p>
      <w:pPr>
        <w:spacing w:line="48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四川艮鑫工程项目管理有限公司</w:t>
      </w:r>
      <w:r>
        <w:rPr>
          <w:rFonts w:hint="eastAsia" w:ascii="宋体" w:hAnsi="宋体" w:eastAsia="宋体" w:cs="宋体"/>
          <w:color w:val="auto"/>
          <w:sz w:val="24"/>
          <w:szCs w:val="24"/>
          <w:highlight w:val="none"/>
        </w:rPr>
        <w:t>：</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（法定代表人姓名、职务）授权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（被授权人姓名、职务）为我方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项目（采购项目编号  ）</w:t>
      </w:r>
      <w:r>
        <w:rPr>
          <w:rFonts w:hint="eastAsia" w:ascii="宋体" w:hAnsi="宋体" w:eastAsia="宋体" w:cs="宋体"/>
          <w:color w:val="auto"/>
          <w:sz w:val="24"/>
          <w:szCs w:val="24"/>
          <w:highlight w:val="none"/>
          <w:lang w:eastAsia="zh-CN"/>
        </w:rPr>
        <w:t>竞争性谈判活动</w:t>
      </w:r>
      <w:r>
        <w:rPr>
          <w:rFonts w:hint="eastAsia" w:ascii="宋体" w:hAnsi="宋体" w:eastAsia="宋体" w:cs="宋体"/>
          <w:color w:val="auto"/>
          <w:sz w:val="24"/>
          <w:szCs w:val="24"/>
          <w:highlight w:val="none"/>
        </w:rPr>
        <w:t>的合法代表，以我方名义全权处理该项目有关</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、签订合同以及执行合同等一切事宜。</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pacing w:line="480" w:lineRule="auto"/>
        <w:ind w:firstLine="480" w:firstLineChars="200"/>
        <w:rPr>
          <w:rFonts w:hint="eastAsia" w:ascii="宋体" w:hAnsi="宋体" w:eastAsia="宋体" w:cs="宋体"/>
          <w:color w:val="auto"/>
          <w:sz w:val="24"/>
          <w:szCs w:val="24"/>
          <w:highlight w:val="none"/>
        </w:rPr>
      </w:pP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法定代表身份证复印件：</w:t>
      </w:r>
    </w:p>
    <w:p>
      <w:pPr>
        <w:spacing w:line="480" w:lineRule="auto"/>
        <w:rPr>
          <w:rFonts w:hint="eastAsia" w:ascii="宋体" w:hAnsi="宋体" w:eastAsia="宋体" w:cs="宋体"/>
          <w:color w:val="auto"/>
          <w:sz w:val="24"/>
          <w:szCs w:val="24"/>
          <w:highlight w:val="none"/>
        </w:rPr>
      </w:pP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授权代表身份证复印件：</w:t>
      </w:r>
    </w:p>
    <w:p>
      <w:pPr>
        <w:spacing w:line="480" w:lineRule="auto"/>
        <w:rPr>
          <w:rFonts w:hint="eastAsia" w:ascii="宋体" w:hAnsi="宋体" w:eastAsia="宋体" w:cs="宋体"/>
          <w:color w:val="auto"/>
          <w:sz w:val="24"/>
          <w:szCs w:val="24"/>
          <w:highlight w:val="none"/>
        </w:rPr>
      </w:pP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         （盖章）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spacing w:beforeLines="0" w:afterLines="0"/>
        <w:jc w:val="left"/>
        <w:rPr>
          <w:rFonts w:hint="eastAsia" w:ascii="宋体" w:hAnsi="宋体" w:eastAsia="宋体" w:cs="宋体"/>
          <w:b w:val="0"/>
          <w:bCs w:val="0"/>
          <w:color w:val="auto"/>
          <w:sz w:val="24"/>
          <w:szCs w:val="24"/>
          <w:highlight w:val="none"/>
        </w:rPr>
      </w:pPr>
    </w:p>
    <w:p>
      <w:pPr>
        <w:spacing w:beforeLines="0" w:afterLines="0"/>
        <w:jc w:val="left"/>
        <w:rPr>
          <w:rFonts w:hint="eastAsia" w:ascii="宋体" w:hAnsi="宋体" w:eastAsia="宋体" w:cs="宋体"/>
          <w:b w:val="0"/>
          <w:bCs w:val="0"/>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（1）法定代表人不参与谈判而委托代理人参加谈判适用。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（2）附法定代表人、授权代表身份证复印件（提供其在有效期的材料，居民身份证正、反面复印件）加盖供应商公章。</w:t>
      </w:r>
    </w:p>
    <w:p>
      <w:pPr>
        <w:rPr>
          <w:rFonts w:hint="eastAsia"/>
          <w:lang w:val="en-US"/>
        </w:rPr>
      </w:pPr>
      <w:r>
        <w:rPr>
          <w:rFonts w:hint="eastAsia"/>
          <w:lang w:val="en-US"/>
        </w:rPr>
        <w:br w:type="page"/>
      </w:r>
    </w:p>
    <w:p>
      <w:pPr>
        <w:pStyle w:val="5"/>
        <w:bidi w:val="0"/>
        <w:rPr>
          <w:rFonts w:hint="eastAsia"/>
          <w:lang w:eastAsia="zh-CN"/>
        </w:rPr>
      </w:pPr>
      <w:bookmarkStart w:id="64" w:name="_Toc9776"/>
      <w:bookmarkStart w:id="65" w:name="_Toc20301"/>
      <w:bookmarkStart w:id="66" w:name="_Toc5439"/>
      <w:bookmarkStart w:id="67" w:name="_Toc13507"/>
      <w:r>
        <w:rPr>
          <w:rFonts w:hint="eastAsia"/>
          <w:lang w:eastAsia="zh-CN"/>
        </w:rPr>
        <w:t>四、承</w:t>
      </w:r>
      <w:r>
        <w:rPr>
          <w:rFonts w:hint="eastAsia"/>
          <w:lang w:val="en-US" w:eastAsia="zh-CN"/>
        </w:rPr>
        <w:t xml:space="preserve"> </w:t>
      </w:r>
      <w:r>
        <w:rPr>
          <w:rFonts w:hint="eastAsia"/>
          <w:lang w:eastAsia="zh-CN"/>
        </w:rPr>
        <w:t>诺</w:t>
      </w:r>
      <w:r>
        <w:rPr>
          <w:rFonts w:hint="eastAsia"/>
          <w:lang w:val="en-US" w:eastAsia="zh-CN"/>
        </w:rPr>
        <w:t xml:space="preserve"> </w:t>
      </w:r>
      <w:r>
        <w:rPr>
          <w:rFonts w:hint="eastAsia"/>
          <w:lang w:eastAsia="zh-CN"/>
        </w:rPr>
        <w:t>函</w:t>
      </w:r>
      <w:bookmarkEnd w:id="64"/>
      <w:bookmarkEnd w:id="65"/>
      <w:bookmarkEnd w:id="66"/>
      <w:bookmarkEnd w:id="67"/>
    </w:p>
    <w:p>
      <w:pPr>
        <w:spacing w:beforeLines="0" w:afterLine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四川艮鑫工程项目管理有限公司</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我公司作为本次采购项目的供应商，根据谈判文件要求，现郑重承诺如下：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一、具备《中华人民共和国政府采购法》第二十二条第一款和本项目规定的条件：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（1）具有独立承担民事责任的能力；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（3）具有履行合同所必需的设备和专业技术能力；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（4）有依法缴纳税收和社会保障资金的良好记录；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（5）参加政府采购活动前三年内，在经营活动中没有重大违法记录；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（6）法律、行政法规规定的其他条件；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（7）根据采购项目提出的特殊条件。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完全接受和满足本项目谈判文件中规定的实质性要求，如对谈判文件有异议，已经在谈判截止时间届满前依法进行维权救济，不存在对谈判文件有异议的同时又参加谈判以求侥幸成交或者为实现其他非法目的的行为。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三、参加本次谈判采购活动，不存在与单位负责人为同一人或者存在直接控股、管理关系的其他供应商参与同一合同项下的</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 xml:space="preserve">活动的行为。我方未参与本采购项目前期咨询论证，不属于禁止参加本项目谈判的供应商。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四、参加本次谈判采购活动，不存在和其他供应商在同一合同项下的采购项目中，同时委托同一个自然人、同一家庭的人员、同一单位的人员作为代理人的行为。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五、我公司未被对列入按财库[2016]125号规定的失信被执行人、重大税收违法案件当事人名单、政府采购严重违法失信行为记录名单及其他不符合《中华人民共和国政府采购法》第二十二条规定条件的供应商。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六、如果有《四川省政府采购当事人诚信管理办法》（川财采[2015]33号）规定的记入诚信档案的失信行为，将在响应文件中全面如实反映。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七、响应文件中提供的能够给予我公司带来优惠、好处的任何材料资料和技术、服务、商务等响应承诺情况都是真实的、有效的、合法的。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八、我司完全同意谈判文件中关于知识产权的说明，承诺由此造成的纠纷由我单位全权负责。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本公司对上述承诺的内容事项真实性负责。如经查实上述承诺的内容事项存在虚假，我公司愿意接受以提供虚假材料谋取成交追究法律责任。 </w:t>
      </w: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rPr>
          <w:rFonts w:hint="eastAsia"/>
          <w:color w:val="auto"/>
          <w:highlight w:val="none"/>
          <w:lang w:eastAsia="zh-CN"/>
        </w:rPr>
      </w:pPr>
      <w:bookmarkStart w:id="68" w:name="_Toc19765"/>
      <w:bookmarkStart w:id="69" w:name="_Toc7342"/>
      <w:bookmarkStart w:id="70" w:name="_Toc19592"/>
      <w:bookmarkStart w:id="71" w:name="_Toc1997"/>
      <w:r>
        <w:rPr>
          <w:rFonts w:hint="eastAsia"/>
          <w:color w:val="auto"/>
          <w:highlight w:val="none"/>
          <w:lang w:eastAsia="zh-CN"/>
        </w:rPr>
        <w:br w:type="page"/>
      </w:r>
    </w:p>
    <w:p>
      <w:pPr>
        <w:pStyle w:val="5"/>
        <w:bidi w:val="0"/>
        <w:rPr>
          <w:rFonts w:hint="eastAsia"/>
          <w:lang w:eastAsia="zh-CN"/>
        </w:rPr>
      </w:pPr>
      <w:r>
        <w:rPr>
          <w:rFonts w:hint="eastAsia"/>
          <w:lang w:eastAsia="zh-CN"/>
        </w:rPr>
        <w:t>五、具有良好的商业信誉、具有履行合同所必需的设备和专业技术能力、具有依法缴纳税收和社会保障资金的良好记录承诺函</w:t>
      </w:r>
      <w:bookmarkEnd w:id="68"/>
      <w:bookmarkEnd w:id="69"/>
      <w:bookmarkEnd w:id="70"/>
      <w:bookmarkEnd w:id="71"/>
    </w:p>
    <w:p>
      <w:pPr>
        <w:spacing w:beforeLines="0" w:afterLines="0"/>
        <w:ind w:firstLine="480" w:firstLineChars="200"/>
        <w:jc w:val="left"/>
        <w:rPr>
          <w:rFonts w:hint="eastAsia" w:ascii="宋体" w:hAnsi="宋体" w:eastAsia="宋体" w:cs="宋体"/>
          <w:color w:val="auto"/>
          <w:sz w:val="24"/>
          <w:szCs w:val="24"/>
          <w:highlight w:val="none"/>
        </w:rPr>
      </w:pPr>
    </w:p>
    <w:p>
      <w:pPr>
        <w:spacing w:beforeLines="0" w:afterLines="0"/>
        <w:ind w:firstLine="480" w:firstLineChars="200"/>
        <w:jc w:val="left"/>
        <w:rPr>
          <w:rFonts w:hint="eastAsia" w:ascii="宋体" w:hAnsi="宋体" w:eastAsia="宋体" w:cs="宋体"/>
          <w:color w:val="auto"/>
          <w:sz w:val="24"/>
          <w:szCs w:val="24"/>
          <w:highlight w:val="none"/>
        </w:rPr>
      </w:pPr>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p>
      <w:pPr>
        <w:spacing w:beforeLines="0" w:afterLines="0"/>
        <w:jc w:val="center"/>
        <w:rPr>
          <w:rFonts w:hint="eastAsia" w:ascii="宋体" w:hAnsi="宋体" w:eastAsia="宋体" w:cs="宋体"/>
          <w:color w:val="auto"/>
          <w:sz w:val="24"/>
          <w:szCs w:val="24"/>
          <w:highlight w:val="none"/>
        </w:rPr>
      </w:pPr>
    </w:p>
    <w:p>
      <w:pPr>
        <w:spacing w:beforeLines="0" w:afterLines="0"/>
        <w:jc w:val="center"/>
        <w:rPr>
          <w:rFonts w:hint="eastAsia" w:ascii="宋体" w:hAnsi="宋体" w:eastAsia="宋体" w:cs="宋体"/>
          <w:color w:val="auto"/>
          <w:sz w:val="24"/>
          <w:szCs w:val="24"/>
          <w:highlight w:val="none"/>
        </w:rPr>
      </w:pPr>
    </w:p>
    <w:p>
      <w:pPr>
        <w:spacing w:beforeLines="0" w:afterLines="0"/>
        <w:jc w:val="both"/>
        <w:rPr>
          <w:rFonts w:hint="eastAsia" w:ascii="宋体" w:hAnsi="宋体" w:eastAsia="宋体" w:cs="宋体"/>
          <w:color w:val="auto"/>
          <w:sz w:val="24"/>
          <w:szCs w:val="24"/>
          <w:highlight w:val="none"/>
        </w:rPr>
      </w:pPr>
    </w:p>
    <w:p>
      <w:pPr>
        <w:spacing w:beforeLines="0" w:afterLines="0"/>
        <w:jc w:val="both"/>
        <w:rPr>
          <w:rFonts w:hint="eastAsia" w:ascii="宋体" w:hAnsi="宋体" w:eastAsia="宋体" w:cs="宋体"/>
          <w:color w:val="auto"/>
          <w:sz w:val="24"/>
          <w:szCs w:val="24"/>
          <w:highlight w:val="none"/>
        </w:rPr>
      </w:pPr>
    </w:p>
    <w:p>
      <w:pPr>
        <w:spacing w:beforeLines="0" w:afterLines="0"/>
        <w:jc w:val="both"/>
        <w:rPr>
          <w:rFonts w:hint="eastAsia" w:ascii="宋体" w:hAnsi="宋体" w:eastAsia="宋体" w:cs="宋体"/>
          <w:color w:val="auto"/>
          <w:sz w:val="24"/>
          <w:szCs w:val="24"/>
          <w:highlight w:val="none"/>
        </w:rPr>
      </w:pPr>
    </w:p>
    <w:p>
      <w:pPr>
        <w:spacing w:beforeLines="0" w:afterLines="0"/>
        <w:jc w:val="both"/>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rPr>
          <w:rFonts w:hint="eastAsia"/>
          <w:lang w:val="en-US"/>
        </w:rPr>
      </w:pPr>
      <w:r>
        <w:rPr>
          <w:rFonts w:hint="eastAsia"/>
          <w:lang w:val="en-US"/>
        </w:rPr>
        <w:br w:type="page"/>
      </w:r>
    </w:p>
    <w:p>
      <w:pPr>
        <w:pStyle w:val="5"/>
        <w:bidi w:val="0"/>
        <w:rPr>
          <w:rFonts w:hint="eastAsia"/>
          <w:lang w:eastAsia="zh-CN"/>
        </w:rPr>
      </w:pPr>
      <w:bookmarkStart w:id="72" w:name="_Toc17497"/>
      <w:bookmarkStart w:id="73" w:name="_Toc11373"/>
      <w:bookmarkStart w:id="74" w:name="_Toc10373"/>
      <w:bookmarkStart w:id="75" w:name="_Toc32241"/>
      <w:r>
        <w:rPr>
          <w:rFonts w:hint="eastAsia"/>
          <w:lang w:eastAsia="zh-CN"/>
        </w:rPr>
        <w:t>六、近三年在经营活动中没有重大违法记录的书面声明</w:t>
      </w:r>
      <w:bookmarkEnd w:id="72"/>
      <w:bookmarkEnd w:id="73"/>
      <w:bookmarkEnd w:id="74"/>
      <w:bookmarkEnd w:id="75"/>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（公司名称）参加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（项目名称）的谈判活动，现承诺我公司在参加</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 xml:space="preserve">活动前三年内，在经营活动中没有重大违法记录。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本单位对上述承诺内容事项真实性负责。如经查实上述承诺的内容事项存在虚假，本单位愿意接受以提供虚假材料谋取成交追究法律责任。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rPr>
          <w:rFonts w:hint="eastAsia"/>
          <w:lang w:val="en-US"/>
        </w:rPr>
      </w:pPr>
      <w:r>
        <w:rPr>
          <w:rFonts w:hint="eastAsia"/>
          <w:lang w:val="en-US"/>
        </w:rPr>
        <w:br w:type="page"/>
      </w:r>
    </w:p>
    <w:p>
      <w:pPr>
        <w:pStyle w:val="5"/>
        <w:bidi w:val="0"/>
        <w:rPr>
          <w:rFonts w:hint="eastAsia"/>
          <w:lang w:eastAsia="zh-CN"/>
        </w:rPr>
      </w:pPr>
      <w:bookmarkStart w:id="76" w:name="_Toc18963"/>
      <w:bookmarkStart w:id="77" w:name="_Toc1170"/>
      <w:bookmarkStart w:id="78" w:name="_Toc25982"/>
      <w:bookmarkStart w:id="79" w:name="_Toc18777"/>
      <w:r>
        <w:rPr>
          <w:rFonts w:hint="eastAsia"/>
          <w:lang w:eastAsia="zh-CN"/>
        </w:rPr>
        <w:t>七、本项目参加采购活动的供应商在前三年内不得具有行贿犯罪记录的承诺函</w:t>
      </w:r>
      <w:bookmarkEnd w:id="76"/>
      <w:bookmarkEnd w:id="77"/>
      <w:bookmarkEnd w:id="78"/>
      <w:bookmarkEnd w:id="79"/>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四川艮鑫工程项目管理有限公司</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参照</w:t>
      </w:r>
      <w:r>
        <w:rPr>
          <w:rFonts w:hint="eastAsia" w:ascii="宋体" w:hAnsi="宋体" w:eastAsia="宋体" w:cs="宋体"/>
          <w:b/>
          <w:bCs/>
          <w:color w:val="auto"/>
          <w:sz w:val="24"/>
          <w:szCs w:val="24"/>
          <w:highlight w:val="none"/>
        </w:rPr>
        <w:t>《关于在政府采购活动中全面开展行贿犯罪档案查询的通知》（川检会〔2016〕5号）的规定，本单位承诺在参加本项目采购活动前三年中本单位及其现任法定代表人、主要负责人不具有行贿犯罪记录。</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本单位对上述承诺内容事项真实性负责。如经查实上述承诺的内容事项存在虚假，本单位愿意接受以提供虚假材料谋取成交追究法律责任。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且同时承诺如本单位成交，如果虚假承诺，作无效响应、成交处理。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rPr>
          <w:rFonts w:hint="eastAsia"/>
        </w:rPr>
      </w:pPr>
      <w:r>
        <w:rPr>
          <w:rFonts w:hint="eastAsia"/>
        </w:rPr>
        <w:br w:type="page"/>
      </w:r>
    </w:p>
    <w:p>
      <w:pPr>
        <w:pStyle w:val="5"/>
        <w:bidi w:val="0"/>
        <w:rPr>
          <w:rFonts w:hint="eastAsia"/>
          <w:lang w:eastAsia="zh-CN"/>
        </w:rPr>
      </w:pPr>
      <w:r>
        <w:rPr>
          <w:rFonts w:hint="eastAsia"/>
          <w:lang w:eastAsia="zh-CN"/>
        </w:rPr>
        <w:t>八、供应商未被列入失信被执行人名单、重大税收违法案件当事人名单、政府采购严重违法失信行为记录名单的承诺函；</w:t>
      </w:r>
    </w:p>
    <w:p>
      <w:pPr>
        <w:bidi w:val="0"/>
        <w:rPr>
          <w:rFonts w:hint="eastAsia"/>
          <w:lang w:eastAsia="zh-CN"/>
        </w:rPr>
      </w:pPr>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p>
      <w:pPr>
        <w:spacing w:beforeLines="0" w:afterLines="0"/>
        <w:jc w:val="center"/>
        <w:rPr>
          <w:rFonts w:hint="eastAsia" w:ascii="宋体" w:hAnsi="宋体" w:eastAsia="宋体" w:cs="宋体"/>
          <w:color w:val="auto"/>
          <w:sz w:val="24"/>
          <w:szCs w:val="24"/>
          <w:highlight w:val="none"/>
        </w:rPr>
      </w:pPr>
    </w:p>
    <w:p>
      <w:pPr>
        <w:spacing w:beforeLines="0" w:afterLines="0"/>
        <w:jc w:val="center"/>
        <w:rPr>
          <w:rFonts w:hint="eastAsia" w:ascii="宋体" w:hAnsi="宋体" w:eastAsia="宋体" w:cs="宋体"/>
          <w:color w:val="auto"/>
          <w:sz w:val="24"/>
          <w:szCs w:val="24"/>
          <w:highlight w:val="none"/>
        </w:rPr>
      </w:pPr>
    </w:p>
    <w:p>
      <w:pPr>
        <w:spacing w:beforeLines="0" w:afterLines="0"/>
        <w:jc w:val="both"/>
        <w:rPr>
          <w:rFonts w:hint="eastAsia" w:ascii="宋体" w:hAnsi="宋体" w:eastAsia="宋体" w:cs="宋体"/>
          <w:color w:val="auto"/>
          <w:sz w:val="24"/>
          <w:szCs w:val="24"/>
          <w:highlight w:val="none"/>
        </w:rPr>
      </w:pPr>
    </w:p>
    <w:p>
      <w:pPr>
        <w:spacing w:beforeLines="0" w:afterLines="0"/>
        <w:jc w:val="both"/>
        <w:rPr>
          <w:rFonts w:hint="eastAsia" w:ascii="宋体" w:hAnsi="宋体" w:eastAsia="宋体" w:cs="宋体"/>
          <w:color w:val="auto"/>
          <w:sz w:val="24"/>
          <w:szCs w:val="24"/>
          <w:highlight w:val="none"/>
        </w:rPr>
      </w:pPr>
    </w:p>
    <w:p>
      <w:pPr>
        <w:spacing w:beforeLines="0" w:afterLines="0"/>
        <w:jc w:val="both"/>
        <w:rPr>
          <w:rFonts w:hint="eastAsia" w:ascii="宋体" w:hAnsi="宋体" w:eastAsia="宋体" w:cs="宋体"/>
          <w:color w:val="auto"/>
          <w:sz w:val="24"/>
          <w:szCs w:val="24"/>
          <w:highlight w:val="none"/>
        </w:rPr>
      </w:pPr>
    </w:p>
    <w:p>
      <w:pPr>
        <w:spacing w:beforeLines="0" w:afterLines="0"/>
        <w:jc w:val="both"/>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rPr>
          <w:rFonts w:hint="eastAsia"/>
          <w:lang w:val="en-US" w:eastAsia="zh-CN"/>
        </w:rPr>
      </w:pPr>
      <w:r>
        <w:rPr>
          <w:rFonts w:hint="eastAsia"/>
          <w:lang w:val="en-US" w:eastAsia="zh-CN"/>
        </w:rPr>
        <w:br w:type="page"/>
      </w:r>
    </w:p>
    <w:p>
      <w:pPr>
        <w:pStyle w:val="5"/>
        <w:bidi w:val="0"/>
        <w:rPr>
          <w:rFonts w:hint="eastAsia"/>
          <w:lang w:eastAsia="zh-CN"/>
        </w:rPr>
      </w:pPr>
      <w:r>
        <w:rPr>
          <w:rFonts w:hint="eastAsia"/>
          <w:lang w:eastAsia="zh-CN"/>
        </w:rPr>
        <w:t>九、中小企业声明函 （如涉及）</w:t>
      </w:r>
    </w:p>
    <w:p>
      <w:pPr>
        <w:autoSpaceDE w:val="0"/>
        <w:autoSpaceDN w:val="0"/>
        <w:spacing w:line="360" w:lineRule="auto"/>
        <w:ind w:left="120" w:right="295" w:firstLine="64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tabs>
          <w:tab w:val="left" w:pos="1143"/>
        </w:tabs>
        <w:autoSpaceDE w:val="0"/>
        <w:autoSpaceDN w:val="0"/>
        <w:spacing w:line="360" w:lineRule="auto"/>
        <w:ind w:firstLine="720" w:firstLineChars="3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1.（标的名称），属于（</w:t>
      </w:r>
      <w:r>
        <w:rPr>
          <w:rFonts w:hint="eastAsia" w:ascii="宋体" w:hAnsi="宋体" w:eastAsia="宋体" w:cs="宋体"/>
          <w:b w:val="0"/>
          <w:bCs w:val="0"/>
          <w:color w:val="auto"/>
          <w:sz w:val="24"/>
          <w:highlight w:val="none"/>
          <w:lang w:eastAsia="zh-CN"/>
        </w:rPr>
        <w:t>招标文件</w:t>
      </w:r>
      <w:r>
        <w:rPr>
          <w:rFonts w:hint="eastAsia" w:ascii="宋体" w:hAnsi="宋体" w:eastAsia="宋体" w:cs="宋体"/>
          <w:b w:val="0"/>
          <w:bCs w:val="0"/>
          <w:color w:val="auto"/>
          <w:sz w:val="24"/>
          <w:highlight w:val="none"/>
        </w:rPr>
        <w:t xml:space="preserve">中明确的所属行业）；承建（承接）企业为（企业名称），从业人员  </w:t>
      </w:r>
      <w:r>
        <w:rPr>
          <w:rFonts w:hint="eastAsia" w:ascii="宋体" w:hAnsi="宋体" w:eastAsia="宋体" w:cs="宋体"/>
          <w:b w:val="0"/>
          <w:bCs w:val="0"/>
          <w:color w:val="auto"/>
          <w:sz w:val="24"/>
          <w:highlight w:val="none"/>
        </w:rPr>
        <w:tab/>
      </w:r>
      <w:r>
        <w:rPr>
          <w:rFonts w:hint="eastAsia" w:ascii="宋体" w:hAnsi="宋体" w:eastAsia="宋体" w:cs="宋体"/>
          <w:b w:val="0"/>
          <w:bCs w:val="0"/>
          <w:color w:val="auto"/>
          <w:sz w:val="24"/>
          <w:highlight w:val="none"/>
        </w:rPr>
        <w:t xml:space="preserve">人，营业收入为   </w:t>
      </w:r>
      <w:r>
        <w:rPr>
          <w:rFonts w:hint="eastAsia" w:ascii="宋体" w:hAnsi="宋体" w:eastAsia="宋体" w:cs="宋体"/>
          <w:b w:val="0"/>
          <w:bCs w:val="0"/>
          <w:color w:val="auto"/>
          <w:sz w:val="24"/>
          <w:highlight w:val="none"/>
        </w:rPr>
        <w:tab/>
      </w:r>
      <w:r>
        <w:rPr>
          <w:rFonts w:hint="eastAsia" w:ascii="宋体" w:hAnsi="宋体" w:eastAsia="宋体" w:cs="宋体"/>
          <w:b w:val="0"/>
          <w:bCs w:val="0"/>
          <w:color w:val="auto"/>
          <w:sz w:val="24"/>
          <w:highlight w:val="none"/>
        </w:rPr>
        <w:t xml:space="preserve">万元，资产总额为  </w:t>
      </w:r>
      <w:r>
        <w:rPr>
          <w:rFonts w:hint="eastAsia" w:ascii="宋体" w:hAnsi="宋体" w:eastAsia="宋体" w:cs="宋体"/>
          <w:b w:val="0"/>
          <w:bCs w:val="0"/>
          <w:color w:val="auto"/>
          <w:sz w:val="24"/>
          <w:highlight w:val="none"/>
        </w:rPr>
        <w:tab/>
      </w:r>
      <w:r>
        <w:rPr>
          <w:rFonts w:hint="eastAsia" w:ascii="宋体" w:hAnsi="宋体" w:eastAsia="宋体" w:cs="宋体"/>
          <w:b w:val="0"/>
          <w:bCs w:val="0"/>
          <w:color w:val="auto"/>
          <w:sz w:val="24"/>
          <w:highlight w:val="none"/>
        </w:rPr>
        <w:t xml:space="preserve">  万元，属于（中型企业、小型企业、微型企业）；</w:t>
      </w:r>
    </w:p>
    <w:p>
      <w:pPr>
        <w:autoSpaceDE w:val="0"/>
        <w:autoSpaceDN w:val="0"/>
        <w:spacing w:before="108" w:line="360" w:lineRule="auto"/>
        <w:ind w:left="120" w:right="297" w:firstLine="645"/>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以上企业，不属于大企业的分支机构，不存在控股股东为大企业的情形，也不存在与大企业的负责人为同一人的情形。</w:t>
      </w:r>
    </w:p>
    <w:p>
      <w:pPr>
        <w:autoSpaceDE w:val="0"/>
        <w:autoSpaceDN w:val="0"/>
        <w:spacing w:line="360" w:lineRule="auto"/>
        <w:ind w:left="120" w:right="255" w:firstLine="64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本企业对上述声明内容的真实性负责。如有虚假，将依法承担相应责任。</w:t>
      </w:r>
    </w:p>
    <w:p>
      <w:pPr>
        <w:autoSpaceDE w:val="0"/>
        <w:autoSpaceDN w:val="0"/>
        <w:spacing w:before="29" w:line="360" w:lineRule="auto"/>
        <w:ind w:left="3960" w:right="2046"/>
        <w:jc w:val="left"/>
        <w:rPr>
          <w:rFonts w:hint="eastAsia" w:ascii="宋体" w:hAnsi="宋体" w:eastAsia="宋体" w:cs="宋体"/>
          <w:b w:val="0"/>
          <w:bCs w:val="0"/>
          <w:color w:val="auto"/>
          <w:sz w:val="24"/>
          <w:highlight w:val="none"/>
        </w:rPr>
      </w:pPr>
    </w:p>
    <w:p>
      <w:pPr>
        <w:wordWrap w:val="0"/>
        <w:autoSpaceDE w:val="0"/>
        <w:autoSpaceDN w:val="0"/>
        <w:spacing w:line="360" w:lineRule="auto"/>
        <w:ind w:left="120" w:right="255" w:firstLine="640"/>
        <w:jc w:val="righ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企业名称（盖章）：      </w:t>
      </w:r>
    </w:p>
    <w:p>
      <w:pPr>
        <w:wordWrap w:val="0"/>
        <w:autoSpaceDE w:val="0"/>
        <w:autoSpaceDN w:val="0"/>
        <w:spacing w:line="360" w:lineRule="auto"/>
        <w:ind w:left="120" w:right="255" w:firstLine="64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日期：</w:t>
      </w:r>
    </w:p>
    <w:p>
      <w:pPr>
        <w:wordWrap w:val="0"/>
        <w:autoSpaceDE w:val="0"/>
        <w:autoSpaceDN w:val="0"/>
        <w:spacing w:line="360" w:lineRule="auto"/>
        <w:ind w:left="120" w:right="255" w:firstLine="64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      </w:t>
      </w:r>
    </w:p>
    <w:p>
      <w:pPr>
        <w:autoSpaceDE w:val="0"/>
        <w:autoSpaceDN w:val="0"/>
        <w:spacing w:before="108" w:line="360" w:lineRule="auto"/>
        <w:ind w:right="297"/>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注：</w:t>
      </w:r>
    </w:p>
    <w:p>
      <w:pPr>
        <w:autoSpaceDE w:val="0"/>
        <w:autoSpaceDN w:val="0"/>
        <w:spacing w:before="108" w:line="360" w:lineRule="auto"/>
        <w:ind w:right="297"/>
        <w:rPr>
          <w:rFonts w:hint="eastAsia" w:ascii="宋体" w:hAnsi="宋体" w:eastAsia="宋体" w:cs="宋体"/>
          <w:b w:val="0"/>
          <w:bCs w:val="0"/>
          <w:color w:val="auto"/>
          <w:sz w:val="24"/>
          <w:szCs w:val="22"/>
          <w:highlight w:val="none"/>
        </w:rPr>
      </w:pP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szCs w:val="22"/>
          <w:highlight w:val="none"/>
          <w:lang w:val="en-US" w:eastAsia="zh-CN"/>
        </w:rPr>
        <w:t>、</w:t>
      </w:r>
      <w:r>
        <w:rPr>
          <w:rFonts w:hint="eastAsia" w:ascii="宋体" w:hAnsi="宋体" w:eastAsia="宋体" w:cs="宋体"/>
          <w:b w:val="0"/>
          <w:bCs w:val="0"/>
          <w:color w:val="auto"/>
          <w:sz w:val="24"/>
          <w:szCs w:val="22"/>
          <w:highlight w:val="none"/>
        </w:rPr>
        <w:t>从业人员、营业收入、资产总额填报上一年度数据，无上一年度数据的新成立企业可不填报。</w:t>
      </w:r>
    </w:p>
    <w:p>
      <w:pPr>
        <w:autoSpaceDE w:val="0"/>
        <w:autoSpaceDN w:val="0"/>
        <w:spacing w:before="108" w:line="360" w:lineRule="auto"/>
        <w:ind w:right="297"/>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kern w:val="2"/>
          <w:sz w:val="24"/>
          <w:szCs w:val="22"/>
          <w:highlight w:val="none"/>
          <w:lang w:val="en-US" w:eastAsia="zh-CN" w:bidi="ar-SA"/>
        </w:rPr>
        <w:t>2、供应商符合《工业和信息化部、国家统计局、国家发展和改革委员会、财政部关于印发中小企业划型标准规定的通知》（工信部联企业〔2011〕300号）规定的划分标准为小微企业适用。参照财库[2014]68号文的规定监狱企业视同为小微企业。 参照财库〔2017〕141号文的规定残疾人福利性单位视同为小微企业）。</w:t>
      </w:r>
    </w:p>
    <w:p>
      <w:pPr>
        <w:rPr>
          <w:rFonts w:hint="eastAsia"/>
          <w:lang w:val="en-US" w:eastAsia="zh-CN"/>
        </w:rPr>
      </w:pPr>
      <w:r>
        <w:rPr>
          <w:rFonts w:hint="eastAsia"/>
          <w:lang w:val="en-US" w:eastAsia="zh-CN"/>
        </w:rPr>
        <w:br w:type="page"/>
      </w:r>
    </w:p>
    <w:p>
      <w:pPr>
        <w:pStyle w:val="5"/>
        <w:bidi w:val="0"/>
        <w:rPr>
          <w:rFonts w:hint="eastAsia"/>
          <w:lang w:eastAsia="zh-CN"/>
        </w:rPr>
      </w:pPr>
      <w:bookmarkStart w:id="80" w:name="_Toc11425"/>
      <w:bookmarkStart w:id="81" w:name="_Toc19655"/>
      <w:bookmarkStart w:id="82" w:name="_Toc18421"/>
      <w:bookmarkStart w:id="83" w:name="_Toc32091"/>
      <w:r>
        <w:rPr>
          <w:rFonts w:hint="eastAsia"/>
          <w:lang w:eastAsia="zh-CN"/>
        </w:rPr>
        <w:t>十、残疾人福利性单位声明函</w:t>
      </w:r>
      <w:bookmarkEnd w:id="80"/>
      <w:bookmarkEnd w:id="81"/>
      <w:r>
        <w:rPr>
          <w:rFonts w:hint="eastAsia"/>
          <w:lang w:eastAsia="zh-CN"/>
        </w:rPr>
        <w:t xml:space="preserve"> （如涉及）</w:t>
      </w:r>
      <w:bookmarkEnd w:id="82"/>
      <w:bookmarkEnd w:id="83"/>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项目采购活动提供本单位制造的货物（由本单位承担工程/提供服务），或者提供其他残疾人福利性单位制造的货物（不包括使用非残疾人福利性单位注册商标的货物）。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本公司对上述声明内容事项真实性负责。如经查实上述声明的内容事项存在虚假，我公司愿意接受以提供虚假材料谋取成交追究法律责任。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 xml:space="preserve">注：非残疾人福利性单位不用提供以上声明函。 </w:t>
      </w:r>
    </w:p>
    <w:p>
      <w:pPr>
        <w:bidi w:val="0"/>
        <w:rPr>
          <w:rFonts w:hint="eastAsia"/>
          <w:lang w:val="en-US" w:eastAsia="zh-CN"/>
        </w:rPr>
      </w:pPr>
    </w:p>
    <w:p>
      <w:pPr>
        <w:bidi w:val="0"/>
        <w:rPr>
          <w:rFonts w:hint="eastAsia"/>
        </w:rPr>
      </w:pPr>
    </w:p>
    <w:p>
      <w:pPr>
        <w:pStyle w:val="5"/>
        <w:bidi w:val="0"/>
        <w:rPr>
          <w:rFonts w:hint="eastAsia"/>
          <w:lang w:eastAsia="zh-CN"/>
        </w:rPr>
      </w:pPr>
      <w:bookmarkStart w:id="84" w:name="_Toc8773"/>
      <w:bookmarkStart w:id="85" w:name="_Toc19932"/>
      <w:r>
        <w:rPr>
          <w:rFonts w:hint="eastAsia"/>
          <w:lang w:eastAsia="zh-CN"/>
        </w:rPr>
        <w:t>其他响应文件封面</w:t>
      </w:r>
    </w:p>
    <w:p>
      <w:pPr>
        <w:rPr>
          <w:rFonts w:hint="eastAsia" w:ascii="仿宋" w:hAnsi="仿宋" w:eastAsia="仿宋"/>
          <w:kern w:val="0"/>
          <w:sz w:val="24"/>
          <w:szCs w:val="24"/>
        </w:rPr>
      </w:pPr>
      <w:r>
        <w:rPr>
          <w:rFonts w:hint="eastAsia" w:ascii="仿宋" w:hAnsi="仿宋" w:eastAsia="仿宋"/>
          <w:kern w:val="0"/>
          <w:sz w:val="24"/>
        </w:rPr>
        <w:t xml:space="preserve">                                                                    </w:t>
      </w:r>
    </w:p>
    <w:p>
      <w:pPr>
        <w:rPr>
          <w:rFonts w:hint="eastAsia" w:ascii="仿宋" w:hAnsi="仿宋" w:eastAsia="仿宋"/>
          <w:kern w:val="0"/>
          <w:sz w:val="24"/>
        </w:rPr>
      </w:pPr>
    </w:p>
    <w:p>
      <w:pPr>
        <w:rPr>
          <w:rFonts w:hint="eastAsia" w:ascii="仿宋" w:hAnsi="仿宋" w:eastAsia="仿宋"/>
          <w:kern w:val="0"/>
          <w:sz w:val="24"/>
        </w:rPr>
      </w:pPr>
    </w:p>
    <w:p>
      <w:pPr>
        <w:jc w:val="right"/>
        <w:rPr>
          <w:rFonts w:hint="eastAsia" w:ascii="仿宋" w:hAnsi="仿宋" w:eastAsia="仿宋"/>
          <w:kern w:val="0"/>
          <w:sz w:val="24"/>
        </w:rPr>
      </w:pPr>
      <w:r>
        <w:rPr>
          <w:rFonts w:hint="eastAsia" w:ascii="仿宋" w:hAnsi="仿宋" w:eastAsia="仿宋"/>
          <w:kern w:val="0"/>
          <w:sz w:val="24"/>
        </w:rPr>
        <w:t xml:space="preserve">  正本/副本</w:t>
      </w: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rPr>
          <w:rFonts w:hint="eastAsia" w:ascii="仿宋" w:hAnsi="仿宋" w:eastAsia="仿宋"/>
          <w:kern w:val="0"/>
          <w:sz w:val="24"/>
        </w:rPr>
      </w:pPr>
    </w:p>
    <w:p>
      <w:pPr>
        <w:jc w:val="center"/>
        <w:rPr>
          <w:rFonts w:hint="eastAsia" w:ascii="仿宋" w:hAnsi="仿宋" w:eastAsia="仿宋"/>
          <w:kern w:val="0"/>
          <w:sz w:val="52"/>
          <w:szCs w:val="52"/>
        </w:rPr>
      </w:pPr>
      <w:r>
        <w:rPr>
          <w:rFonts w:hint="eastAsia" w:ascii="仿宋" w:hAnsi="仿宋" w:eastAsia="仿宋"/>
          <w:kern w:val="0"/>
          <w:sz w:val="52"/>
          <w:szCs w:val="52"/>
        </w:rPr>
        <w:t>其他响应文件</w:t>
      </w:r>
    </w:p>
    <w:p>
      <w:pPr>
        <w:rPr>
          <w:rFonts w:hint="eastAsia" w:ascii="仿宋" w:hAnsi="仿宋" w:eastAsia="仿宋"/>
          <w:kern w:val="0"/>
          <w:sz w:val="24"/>
          <w:szCs w:val="24"/>
        </w:rPr>
      </w:pPr>
    </w:p>
    <w:p>
      <w:pPr>
        <w:rPr>
          <w:rFonts w:hint="eastAsia" w:ascii="仿宋" w:hAnsi="仿宋" w:eastAsia="仿宋"/>
          <w:spacing w:val="78"/>
          <w:kern w:val="0"/>
          <w:sz w:val="24"/>
        </w:rPr>
      </w:pPr>
    </w:p>
    <w:p>
      <w:pPr>
        <w:rPr>
          <w:rFonts w:hint="eastAsia" w:ascii="仿宋" w:hAnsi="仿宋" w:eastAsia="仿宋"/>
          <w:spacing w:val="78"/>
          <w:kern w:val="0"/>
          <w:sz w:val="24"/>
        </w:rPr>
      </w:pPr>
    </w:p>
    <w:p>
      <w:pPr>
        <w:rPr>
          <w:rFonts w:hint="eastAsia" w:ascii="仿宋" w:hAnsi="仿宋" w:eastAsia="仿宋"/>
          <w:spacing w:val="78"/>
          <w:kern w:val="0"/>
          <w:sz w:val="24"/>
        </w:rPr>
      </w:pPr>
    </w:p>
    <w:p>
      <w:pPr>
        <w:rPr>
          <w:rFonts w:hint="eastAsia" w:ascii="仿宋" w:hAnsi="仿宋" w:eastAsia="仿宋"/>
          <w:spacing w:val="78"/>
          <w:kern w:val="0"/>
          <w:sz w:val="28"/>
          <w:szCs w:val="28"/>
        </w:rPr>
      </w:pPr>
    </w:p>
    <w:p>
      <w:pPr>
        <w:rPr>
          <w:rFonts w:hint="eastAsia" w:ascii="仿宋" w:hAnsi="仿宋" w:eastAsia="仿宋"/>
          <w:spacing w:val="78"/>
          <w:kern w:val="0"/>
          <w:sz w:val="28"/>
          <w:szCs w:val="28"/>
        </w:rPr>
      </w:pPr>
      <w:r>
        <w:rPr>
          <w:rFonts w:hint="eastAsia" w:ascii="仿宋" w:hAnsi="仿宋" w:eastAsia="仿宋"/>
          <w:spacing w:val="78"/>
          <w:kern w:val="0"/>
          <w:sz w:val="28"/>
          <w:szCs w:val="28"/>
        </w:rPr>
        <w:t>采购项目名称：</w:t>
      </w:r>
    </w:p>
    <w:p>
      <w:pPr>
        <w:rPr>
          <w:rFonts w:hint="eastAsia" w:ascii="仿宋" w:hAnsi="仿宋" w:eastAsia="仿宋"/>
          <w:spacing w:val="78"/>
          <w:kern w:val="0"/>
          <w:sz w:val="28"/>
          <w:szCs w:val="28"/>
        </w:rPr>
      </w:pPr>
      <w:r>
        <w:rPr>
          <w:rFonts w:hint="eastAsia" w:ascii="仿宋" w:hAnsi="仿宋" w:eastAsia="仿宋"/>
          <w:spacing w:val="78"/>
          <w:kern w:val="0"/>
          <w:sz w:val="28"/>
          <w:szCs w:val="28"/>
        </w:rPr>
        <w:t xml:space="preserve">采购项目编号： </w:t>
      </w:r>
    </w:p>
    <w:p>
      <w:pPr>
        <w:rPr>
          <w:rFonts w:hint="eastAsia" w:ascii="仿宋" w:hAnsi="仿宋" w:eastAsia="仿宋"/>
          <w:kern w:val="0"/>
          <w:sz w:val="28"/>
          <w:szCs w:val="28"/>
        </w:rPr>
      </w:pPr>
    </w:p>
    <w:p>
      <w:pPr>
        <w:rPr>
          <w:rFonts w:hint="eastAsia" w:ascii="仿宋" w:hAnsi="仿宋" w:eastAsia="仿宋"/>
          <w:kern w:val="0"/>
          <w:sz w:val="28"/>
          <w:szCs w:val="28"/>
        </w:rPr>
      </w:pPr>
      <w:r>
        <w:rPr>
          <w:rFonts w:hint="eastAsia" w:ascii="仿宋" w:hAnsi="仿宋" w:eastAsia="仿宋"/>
          <w:kern w:val="0"/>
          <w:sz w:val="28"/>
          <w:szCs w:val="28"/>
        </w:rPr>
        <w:t>供应商名称（加盖公章）：</w:t>
      </w:r>
    </w:p>
    <w:p>
      <w:pPr>
        <w:rPr>
          <w:rFonts w:hint="eastAsia" w:ascii="仿宋" w:hAnsi="仿宋" w:eastAsia="仿宋"/>
          <w:kern w:val="0"/>
          <w:sz w:val="28"/>
          <w:szCs w:val="28"/>
        </w:rPr>
      </w:pPr>
      <w:r>
        <w:rPr>
          <w:rFonts w:hint="eastAsia" w:ascii="仿宋" w:hAnsi="仿宋" w:eastAsia="仿宋"/>
          <w:kern w:val="0"/>
          <w:sz w:val="28"/>
          <w:szCs w:val="28"/>
        </w:rPr>
        <w:t>时    间：  年   月   日</w:t>
      </w:r>
    </w:p>
    <w:p>
      <w:pPr>
        <w:jc w:val="left"/>
        <w:rPr>
          <w:rFonts w:ascii="仿宋" w:hAnsi="仿宋" w:eastAsia="仿宋" w:cs="仿宋"/>
          <w:b/>
          <w:sz w:val="28"/>
          <w:szCs w:val="28"/>
        </w:rPr>
        <w:sectPr>
          <w:pgSz w:w="11907" w:h="16839"/>
          <w:pgMar w:top="1440" w:right="1800" w:bottom="1440" w:left="1800" w:header="851" w:footer="992" w:gutter="0"/>
          <w:pgNumType w:fmt="decimal"/>
          <w:cols w:space="720" w:num="1"/>
          <w:docGrid w:type="linesAndChars" w:linePitch="312" w:charSpace="0"/>
        </w:sectPr>
      </w:pPr>
    </w:p>
    <w:p>
      <w:pPr>
        <w:pStyle w:val="5"/>
        <w:bidi w:val="0"/>
        <w:rPr>
          <w:rFonts w:hint="eastAsia"/>
          <w:color w:val="FF0000"/>
          <w:lang w:eastAsia="zh-CN"/>
        </w:rPr>
      </w:pPr>
      <w:r>
        <w:rPr>
          <w:rFonts w:hint="eastAsia"/>
          <w:color w:val="FF0000"/>
          <w:lang w:eastAsia="zh-CN"/>
        </w:rPr>
        <w:t>一、供应商基本情况表</w:t>
      </w: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900"/>
        <w:gridCol w:w="360"/>
        <w:gridCol w:w="90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tc>
        <w:tc>
          <w:tcPr>
            <w:tcW w:w="7560" w:type="dxa"/>
            <w:gridSpan w:val="9"/>
            <w:noWrap w:val="0"/>
            <w:vAlign w:val="center"/>
          </w:tcPr>
          <w:p>
            <w:pPr>
              <w:tabs>
                <w:tab w:val="left" w:pos="1890"/>
              </w:tabs>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注册地址</w:t>
            </w:r>
          </w:p>
        </w:tc>
        <w:tc>
          <w:tcPr>
            <w:tcW w:w="4680" w:type="dxa"/>
            <w:gridSpan w:val="5"/>
            <w:noWrap w:val="0"/>
            <w:vAlign w:val="center"/>
          </w:tcPr>
          <w:p>
            <w:pPr>
              <w:tabs>
                <w:tab w:val="left" w:pos="1890"/>
              </w:tabs>
              <w:jc w:val="center"/>
              <w:rPr>
                <w:rFonts w:hint="eastAsia" w:ascii="宋体" w:hAnsi="宋体" w:eastAsia="宋体" w:cs="宋体"/>
                <w:bCs/>
                <w:color w:val="auto"/>
                <w:sz w:val="24"/>
                <w:szCs w:val="24"/>
                <w:highlight w:val="none"/>
              </w:rPr>
            </w:pPr>
          </w:p>
        </w:tc>
        <w:tc>
          <w:tcPr>
            <w:tcW w:w="1260" w:type="dxa"/>
            <w:gridSpan w:val="2"/>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邮政编码</w:t>
            </w:r>
          </w:p>
        </w:tc>
        <w:tc>
          <w:tcPr>
            <w:tcW w:w="1620" w:type="dxa"/>
            <w:gridSpan w:val="2"/>
            <w:noWrap w:val="0"/>
            <w:vAlign w:val="center"/>
          </w:tcPr>
          <w:p>
            <w:pPr>
              <w:tabs>
                <w:tab w:val="left" w:pos="1890"/>
              </w:tabs>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p>
        </w:tc>
        <w:tc>
          <w:tcPr>
            <w:tcW w:w="108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p>
        </w:tc>
        <w:tc>
          <w:tcPr>
            <w:tcW w:w="3600" w:type="dxa"/>
            <w:gridSpan w:val="4"/>
            <w:noWrap w:val="0"/>
            <w:vAlign w:val="center"/>
          </w:tcPr>
          <w:p>
            <w:pPr>
              <w:tabs>
                <w:tab w:val="left" w:pos="1890"/>
              </w:tabs>
              <w:jc w:val="center"/>
              <w:rPr>
                <w:rFonts w:hint="eastAsia" w:ascii="宋体" w:hAnsi="宋体" w:eastAsia="宋体" w:cs="宋体"/>
                <w:bCs/>
                <w:color w:val="auto"/>
                <w:sz w:val="24"/>
                <w:szCs w:val="24"/>
                <w:highlight w:val="none"/>
              </w:rPr>
            </w:pPr>
          </w:p>
        </w:tc>
        <w:tc>
          <w:tcPr>
            <w:tcW w:w="1260" w:type="dxa"/>
            <w:gridSpan w:val="2"/>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620" w:type="dxa"/>
            <w:gridSpan w:val="2"/>
            <w:noWrap w:val="0"/>
            <w:vAlign w:val="center"/>
          </w:tcPr>
          <w:p>
            <w:pPr>
              <w:tabs>
                <w:tab w:val="left" w:pos="1890"/>
              </w:tabs>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组织结构</w:t>
            </w:r>
          </w:p>
        </w:tc>
        <w:tc>
          <w:tcPr>
            <w:tcW w:w="7560" w:type="dxa"/>
            <w:gridSpan w:val="9"/>
            <w:noWrap w:val="0"/>
            <w:vAlign w:val="center"/>
          </w:tcPr>
          <w:p>
            <w:pPr>
              <w:tabs>
                <w:tab w:val="left" w:pos="1890"/>
              </w:tabs>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tc>
        <w:tc>
          <w:tcPr>
            <w:tcW w:w="1260" w:type="dxa"/>
            <w:gridSpan w:val="2"/>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1260" w:type="dxa"/>
            <w:noWrap w:val="0"/>
            <w:vAlign w:val="center"/>
          </w:tcPr>
          <w:p>
            <w:pPr>
              <w:tabs>
                <w:tab w:val="left" w:pos="1890"/>
              </w:tabs>
              <w:jc w:val="center"/>
              <w:rPr>
                <w:rFonts w:hint="eastAsia" w:ascii="宋体" w:hAnsi="宋体" w:eastAsia="宋体" w:cs="宋体"/>
                <w:bCs/>
                <w:color w:val="auto"/>
                <w:sz w:val="24"/>
                <w:szCs w:val="24"/>
                <w:highlight w:val="none"/>
              </w:rPr>
            </w:pPr>
          </w:p>
        </w:tc>
        <w:tc>
          <w:tcPr>
            <w:tcW w:w="126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技术职称</w:t>
            </w:r>
          </w:p>
        </w:tc>
        <w:tc>
          <w:tcPr>
            <w:tcW w:w="1260" w:type="dxa"/>
            <w:gridSpan w:val="2"/>
            <w:noWrap w:val="0"/>
            <w:vAlign w:val="center"/>
          </w:tcPr>
          <w:p>
            <w:pPr>
              <w:tabs>
                <w:tab w:val="left" w:pos="1890"/>
              </w:tabs>
              <w:jc w:val="center"/>
              <w:rPr>
                <w:rFonts w:hint="eastAsia" w:ascii="宋体" w:hAnsi="宋体" w:eastAsia="宋体" w:cs="宋体"/>
                <w:bCs/>
                <w:color w:val="auto"/>
                <w:sz w:val="24"/>
                <w:szCs w:val="24"/>
                <w:highlight w:val="none"/>
              </w:rPr>
            </w:pPr>
          </w:p>
        </w:tc>
        <w:tc>
          <w:tcPr>
            <w:tcW w:w="1260" w:type="dxa"/>
            <w:gridSpan w:val="2"/>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260" w:type="dxa"/>
            <w:noWrap w:val="0"/>
            <w:vAlign w:val="center"/>
          </w:tcPr>
          <w:p>
            <w:pPr>
              <w:tabs>
                <w:tab w:val="left" w:pos="1890"/>
              </w:tabs>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技术负责人</w:t>
            </w:r>
          </w:p>
        </w:tc>
        <w:tc>
          <w:tcPr>
            <w:tcW w:w="1260" w:type="dxa"/>
            <w:gridSpan w:val="2"/>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1260" w:type="dxa"/>
            <w:noWrap w:val="0"/>
            <w:vAlign w:val="center"/>
          </w:tcPr>
          <w:p>
            <w:pPr>
              <w:tabs>
                <w:tab w:val="left" w:pos="1890"/>
              </w:tabs>
              <w:jc w:val="center"/>
              <w:rPr>
                <w:rFonts w:hint="eastAsia" w:ascii="宋体" w:hAnsi="宋体" w:eastAsia="宋体" w:cs="宋体"/>
                <w:bCs/>
                <w:color w:val="auto"/>
                <w:sz w:val="24"/>
                <w:szCs w:val="24"/>
                <w:highlight w:val="none"/>
              </w:rPr>
            </w:pPr>
          </w:p>
        </w:tc>
        <w:tc>
          <w:tcPr>
            <w:tcW w:w="126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技术职称</w:t>
            </w:r>
          </w:p>
        </w:tc>
        <w:tc>
          <w:tcPr>
            <w:tcW w:w="1260" w:type="dxa"/>
            <w:gridSpan w:val="2"/>
            <w:noWrap w:val="0"/>
            <w:vAlign w:val="center"/>
          </w:tcPr>
          <w:p>
            <w:pPr>
              <w:tabs>
                <w:tab w:val="left" w:pos="1890"/>
              </w:tabs>
              <w:jc w:val="center"/>
              <w:rPr>
                <w:rFonts w:hint="eastAsia" w:ascii="宋体" w:hAnsi="宋体" w:eastAsia="宋体" w:cs="宋体"/>
                <w:bCs/>
                <w:color w:val="auto"/>
                <w:sz w:val="24"/>
                <w:szCs w:val="24"/>
                <w:highlight w:val="none"/>
              </w:rPr>
            </w:pPr>
          </w:p>
        </w:tc>
        <w:tc>
          <w:tcPr>
            <w:tcW w:w="1260" w:type="dxa"/>
            <w:gridSpan w:val="2"/>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260" w:type="dxa"/>
            <w:noWrap w:val="0"/>
            <w:vAlign w:val="center"/>
          </w:tcPr>
          <w:p>
            <w:pPr>
              <w:tabs>
                <w:tab w:val="left" w:pos="1890"/>
              </w:tabs>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成立时间</w:t>
            </w:r>
          </w:p>
        </w:tc>
        <w:tc>
          <w:tcPr>
            <w:tcW w:w="7560" w:type="dxa"/>
            <w:gridSpan w:val="9"/>
            <w:noWrap w:val="0"/>
            <w:vAlign w:val="center"/>
          </w:tcPr>
          <w:p>
            <w:pPr>
              <w:tabs>
                <w:tab w:val="left" w:pos="1890"/>
              </w:tabs>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eastAsia="zh-CN"/>
              </w:rPr>
              <w:t xml:space="preserve"> </w:t>
            </w:r>
            <w:r>
              <w:rPr>
                <w:rFonts w:hint="eastAsia" w:ascii="宋体" w:hAnsi="宋体" w:cs="宋体"/>
                <w:bCs/>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营业执照</w:t>
            </w:r>
            <w:r>
              <w:rPr>
                <w:rFonts w:hint="eastAsia" w:ascii="宋体" w:hAnsi="宋体" w:eastAsia="宋体" w:cs="宋体"/>
                <w:color w:val="auto"/>
                <w:sz w:val="24"/>
                <w:szCs w:val="24"/>
                <w:highlight w:val="none"/>
              </w:rPr>
              <w:t>号</w:t>
            </w:r>
          </w:p>
        </w:tc>
        <w:tc>
          <w:tcPr>
            <w:tcW w:w="7560" w:type="dxa"/>
            <w:gridSpan w:val="9"/>
            <w:noWrap w:val="0"/>
            <w:vAlign w:val="center"/>
          </w:tcPr>
          <w:p>
            <w:pPr>
              <w:tabs>
                <w:tab w:val="left" w:pos="1890"/>
              </w:tabs>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bookmarkStart w:id="156" w:name="_GoBack"/>
            <w:r>
              <w:rPr>
                <w:rFonts w:hint="eastAsia" w:ascii="宋体" w:hAnsi="宋体" w:eastAsia="宋体" w:cs="宋体"/>
                <w:bCs/>
                <w:color w:val="auto"/>
                <w:sz w:val="24"/>
                <w:szCs w:val="24"/>
                <w:highlight w:val="none"/>
              </w:rPr>
              <w:t>注册资金</w:t>
            </w:r>
          </w:p>
        </w:tc>
        <w:tc>
          <w:tcPr>
            <w:tcW w:w="7560" w:type="dxa"/>
            <w:gridSpan w:val="9"/>
            <w:noWrap w:val="0"/>
            <w:vAlign w:val="center"/>
          </w:tcPr>
          <w:p>
            <w:pPr>
              <w:tabs>
                <w:tab w:val="left" w:pos="1890"/>
              </w:tabs>
              <w:jc w:val="center"/>
              <w:rPr>
                <w:rFonts w:hint="eastAsia" w:ascii="宋体" w:hAnsi="宋体" w:eastAsia="宋体" w:cs="宋体"/>
                <w:bCs/>
                <w:color w:val="auto"/>
                <w:sz w:val="24"/>
                <w:szCs w:val="24"/>
                <w:highlight w:val="none"/>
              </w:rPr>
            </w:pPr>
          </w:p>
        </w:tc>
      </w:tr>
      <w:bookmarkEnd w:id="1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经营范围</w:t>
            </w:r>
          </w:p>
        </w:tc>
        <w:tc>
          <w:tcPr>
            <w:tcW w:w="7560" w:type="dxa"/>
            <w:gridSpan w:val="9"/>
            <w:noWrap w:val="0"/>
            <w:vAlign w:val="center"/>
          </w:tcPr>
          <w:p>
            <w:pPr>
              <w:tabs>
                <w:tab w:val="left" w:pos="1890"/>
              </w:tabs>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tabs>
                <w:tab w:val="left" w:pos="1890"/>
              </w:tabs>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7560" w:type="dxa"/>
            <w:gridSpan w:val="9"/>
            <w:noWrap w:val="0"/>
            <w:vAlign w:val="center"/>
          </w:tcPr>
          <w:p>
            <w:pPr>
              <w:tabs>
                <w:tab w:val="left" w:pos="1890"/>
              </w:tabs>
              <w:jc w:val="center"/>
              <w:rPr>
                <w:rFonts w:hint="eastAsia" w:ascii="宋体" w:hAnsi="宋体" w:eastAsia="宋体" w:cs="宋体"/>
                <w:bCs/>
                <w:color w:val="auto"/>
                <w:sz w:val="24"/>
                <w:szCs w:val="24"/>
                <w:highlight w:val="none"/>
              </w:rPr>
            </w:pPr>
          </w:p>
        </w:tc>
      </w:tr>
    </w:tbl>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或授权代表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rPr>
          <w:rFonts w:hint="eastAsia"/>
          <w:lang w:val="en-US"/>
        </w:rPr>
      </w:pPr>
      <w:r>
        <w:rPr>
          <w:rFonts w:hint="eastAsia"/>
          <w:lang w:val="en-US"/>
        </w:rPr>
        <w:br w:type="page"/>
      </w:r>
    </w:p>
    <w:p>
      <w:pPr>
        <w:pStyle w:val="5"/>
        <w:bidi w:val="0"/>
        <w:rPr>
          <w:rFonts w:hint="eastAsia"/>
          <w:lang w:eastAsia="zh-CN"/>
        </w:rPr>
      </w:pPr>
      <w:r>
        <w:rPr>
          <w:rFonts w:hint="eastAsia"/>
          <w:lang w:eastAsia="zh-CN"/>
        </w:rPr>
        <w:t xml:space="preserve">二、供应商参加竞争性谈判的函 </w:t>
      </w:r>
    </w:p>
    <w:p>
      <w:pPr>
        <w:keepNext w:val="0"/>
        <w:keepLines w:val="0"/>
        <w:pageBreakBefore w:val="0"/>
        <w:widowControl/>
        <w:kinsoku/>
        <w:wordWrap/>
        <w:overflowPunct/>
        <w:topLinePunct w:val="0"/>
        <w:autoSpaceDE/>
        <w:autoSpaceDN/>
        <w:bidi w:val="0"/>
        <w:adjustRightInd/>
        <w:snapToGrid/>
        <w:spacing w:beforeLines="0" w:afterLines="0" w:line="34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四川艮鑫工程项目管理有限公司</w:t>
      </w:r>
      <w:r>
        <w:rPr>
          <w:rFonts w:hint="eastAsia" w:ascii="宋体" w:hAnsi="宋体" w:eastAsia="宋体" w:cs="宋体"/>
          <w:color w:val="auto"/>
          <w:sz w:val="24"/>
          <w:szCs w:val="24"/>
          <w:highlight w:val="none"/>
        </w:rPr>
        <w:t xml:space="preserve">： </w:t>
      </w:r>
    </w:p>
    <w:p>
      <w:pPr>
        <w:pStyle w:val="11"/>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根据贵方</w:t>
      </w:r>
      <w:r>
        <w:rPr>
          <w:rFonts w:hint="eastAsia" w:hAnsi="宋体" w:cs="宋体"/>
          <w:color w:val="auto"/>
          <w:sz w:val="24"/>
          <w:szCs w:val="24"/>
          <w:highlight w:val="none"/>
          <w:u w:val="single"/>
        </w:rPr>
        <w:t xml:space="preserve">   （采购项目名称）  （采购项目编号：            ）</w:t>
      </w:r>
      <w:r>
        <w:rPr>
          <w:rFonts w:hint="eastAsia" w:hAnsi="宋体" w:cs="宋体"/>
          <w:color w:val="auto"/>
          <w:sz w:val="24"/>
          <w:szCs w:val="24"/>
          <w:highlight w:val="none"/>
        </w:rPr>
        <w:t>谈判文件要求，我方正式授权下述签字人</w:t>
      </w:r>
      <w:r>
        <w:rPr>
          <w:rFonts w:hint="eastAsia" w:hAnsi="宋体" w:cs="宋体"/>
          <w:color w:val="auto"/>
          <w:sz w:val="24"/>
          <w:szCs w:val="24"/>
          <w:highlight w:val="none"/>
          <w:u w:val="single"/>
        </w:rPr>
        <w:t xml:space="preserve">   （姓名和职务）     </w:t>
      </w:r>
      <w:r>
        <w:rPr>
          <w:rFonts w:hint="eastAsia" w:hAnsi="宋体" w:cs="宋体"/>
          <w:color w:val="auto"/>
          <w:sz w:val="24"/>
          <w:szCs w:val="24"/>
          <w:highlight w:val="none"/>
        </w:rPr>
        <w:t>全权代表</w:t>
      </w:r>
      <w:r>
        <w:rPr>
          <w:rFonts w:hint="eastAsia" w:hAnsi="宋体" w:cs="宋体"/>
          <w:color w:val="auto"/>
          <w:sz w:val="24"/>
          <w:szCs w:val="24"/>
          <w:highlight w:val="none"/>
          <w:u w:val="single"/>
        </w:rPr>
        <w:t xml:space="preserve">      （供应商全称）  </w:t>
      </w:r>
      <w:r>
        <w:rPr>
          <w:rFonts w:hint="eastAsia" w:hAnsi="宋体" w:cs="宋体"/>
          <w:color w:val="auto"/>
          <w:sz w:val="24"/>
          <w:szCs w:val="24"/>
          <w:highlight w:val="none"/>
        </w:rPr>
        <w:t>参加贵方组织的本次竞争性谈判采购活动，并承诺：</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40" w:lineRule="exact"/>
        <w:ind w:leftChars="200"/>
        <w:jc w:val="left"/>
        <w:textAlignment w:val="auto"/>
        <w:rPr>
          <w:rFonts w:hint="eastAsia"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我方自愿按照谈判文件规定的各项要求向采购人提供所需</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w:t>
      </w:r>
      <w:r>
        <w:rPr>
          <w:rFonts w:hint="eastAsia" w:hAnsi="宋体" w:cs="宋体"/>
          <w:color w:val="auto"/>
          <w:sz w:val="24"/>
          <w:szCs w:val="24"/>
          <w:highlight w:val="none"/>
        </w:rPr>
        <w:t>承担完成合同的责任和义务。</w:t>
      </w:r>
    </w:p>
    <w:p>
      <w:pPr>
        <w:pStyle w:val="11"/>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我方同意在竞争性谈判须知规定的提交响应文件截止日期起遵循本竞争性谈判文件，并在规定的响应文件有效期满之前均具有约束力，并有可能成交。</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我们已详细审核全部竞争性谈判文件，包括</w:t>
      </w:r>
      <w:r>
        <w:rPr>
          <w:rFonts w:hint="eastAsia" w:ascii="宋体" w:hAnsi="宋体" w:cs="宋体"/>
          <w:color w:val="auto"/>
          <w:sz w:val="24"/>
          <w:szCs w:val="24"/>
          <w:highlight w:val="none"/>
          <w:lang w:eastAsia="zh-CN"/>
        </w:rPr>
        <w:t>更正公告</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若涉及</w:t>
      </w:r>
      <w:r>
        <w:rPr>
          <w:rFonts w:hint="eastAsia" w:ascii="宋体" w:hAnsi="宋体" w:eastAsia="宋体" w:cs="宋体"/>
          <w:color w:val="auto"/>
          <w:sz w:val="24"/>
          <w:szCs w:val="24"/>
          <w:highlight w:val="none"/>
        </w:rPr>
        <w:t>)，我们完全理解并放弃提出含糊不清或误解的问题的权利。</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我方同意本谈判文件依据《四川省政府采购当事人诚信管理办法》（川财采〔2015〕 33 号文件）对我方可能存在的失信行为进行惩戒。</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我方为本项目提交的</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正本 1 份，副本 2 份</w:t>
      </w:r>
      <w:r>
        <w:rPr>
          <w:rFonts w:hint="eastAsia" w:ascii="宋体" w:hAnsi="宋体" w:cs="宋体"/>
          <w:color w:val="auto"/>
          <w:sz w:val="24"/>
          <w:szCs w:val="24"/>
          <w:highlight w:val="none"/>
          <w:lang w:eastAsia="zh-CN"/>
        </w:rPr>
        <w:t>；电子文档</w:t>
      </w:r>
      <w:r>
        <w:rPr>
          <w:rFonts w:hint="eastAsia" w:ascii="宋体" w:hAnsi="宋体" w:cs="宋体"/>
          <w:color w:val="auto"/>
          <w:sz w:val="24"/>
          <w:szCs w:val="24"/>
          <w:highlight w:val="none"/>
          <w:lang w:val="en-US" w:eastAsia="zh-CN"/>
        </w:rPr>
        <w:t>1份</w:t>
      </w:r>
      <w:r>
        <w:rPr>
          <w:rFonts w:hint="eastAsia" w:ascii="宋体" w:hAnsi="宋体" w:eastAsia="宋体" w:cs="宋体"/>
          <w:color w:val="auto"/>
          <w:sz w:val="24"/>
          <w:szCs w:val="24"/>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我方愿意提供贵单位可能另外要求的，与谈判报价有关的文件资料，并保证我方已 提供和将要提供的文件资料是真实、准确的。 </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同意按文件须知中关于不予退还项目保证金的规定。 </w:t>
      </w:r>
    </w:p>
    <w:p>
      <w:pPr>
        <w:pStyle w:val="11"/>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8、我方理解</w:t>
      </w:r>
      <w:r>
        <w:rPr>
          <w:rFonts w:hint="eastAsia" w:hAnsi="宋体" w:cs="宋体"/>
          <w:bCs/>
          <w:color w:val="auto"/>
          <w:sz w:val="24"/>
          <w:szCs w:val="24"/>
          <w:highlight w:val="none"/>
          <w:lang w:eastAsia="zh-CN"/>
        </w:rPr>
        <w:t>参照</w:t>
      </w:r>
      <w:r>
        <w:rPr>
          <w:rFonts w:hint="eastAsia" w:hAnsi="宋体" w:cs="宋体"/>
          <w:bCs/>
          <w:color w:val="auto"/>
          <w:sz w:val="24"/>
          <w:szCs w:val="24"/>
          <w:highlight w:val="none"/>
        </w:rPr>
        <w:t>《</w:t>
      </w:r>
      <w:r>
        <w:rPr>
          <w:rFonts w:hint="eastAsia" w:hAnsi="宋体" w:cs="宋体"/>
          <w:bCs/>
          <w:color w:val="auto"/>
          <w:sz w:val="24"/>
          <w:szCs w:val="24"/>
          <w:highlight w:val="none"/>
          <w:lang w:eastAsia="zh-CN"/>
        </w:rPr>
        <w:t>政府采购促进中小企业发展管理办法</w:t>
      </w:r>
      <w:r>
        <w:rPr>
          <w:rFonts w:hint="eastAsia" w:hAnsi="宋体" w:cs="宋体"/>
          <w:bCs/>
          <w:color w:val="auto"/>
          <w:sz w:val="24"/>
          <w:szCs w:val="24"/>
          <w:highlight w:val="none"/>
        </w:rPr>
        <w:t>》</w:t>
      </w:r>
      <w:r>
        <w:rPr>
          <w:rFonts w:hint="eastAsia" w:hAnsi="宋体" w:cs="宋体"/>
          <w:bCs/>
          <w:color w:val="auto"/>
          <w:sz w:val="24"/>
          <w:szCs w:val="24"/>
          <w:highlight w:val="none"/>
          <w:lang w:eastAsia="zh-CN"/>
        </w:rPr>
        <w:t>（财库〔2020〕46号）</w:t>
      </w:r>
      <w:r>
        <w:rPr>
          <w:rFonts w:hint="eastAsia" w:hAnsi="宋体" w:cs="宋体"/>
          <w:bCs/>
          <w:color w:val="auto"/>
          <w:sz w:val="24"/>
          <w:szCs w:val="24"/>
          <w:highlight w:val="none"/>
        </w:rPr>
        <w:t>的规定，</w:t>
      </w:r>
      <w:r>
        <w:rPr>
          <w:rFonts w:hint="eastAsia" w:ascii="宋体" w:hAnsi="宋体" w:cs="宋体"/>
          <w:color w:val="auto"/>
          <w:sz w:val="24"/>
          <w:highlight w:val="none"/>
        </w:rPr>
        <w:t>对小型</w:t>
      </w:r>
      <w:r>
        <w:rPr>
          <w:rFonts w:hint="eastAsia" w:hAnsi="宋体" w:cs="宋体"/>
          <w:color w:val="auto"/>
          <w:sz w:val="24"/>
          <w:highlight w:val="none"/>
          <w:lang w:eastAsia="zh-CN"/>
        </w:rPr>
        <w:t>和</w:t>
      </w:r>
      <w:r>
        <w:rPr>
          <w:rFonts w:hint="eastAsia" w:ascii="宋体" w:hAnsi="宋体" w:cs="宋体"/>
          <w:color w:val="auto"/>
          <w:sz w:val="24"/>
          <w:highlight w:val="none"/>
        </w:rPr>
        <w:t>微型企业的价格给予</w:t>
      </w:r>
      <w:r>
        <w:rPr>
          <w:rFonts w:hint="eastAsia" w:hAnsi="宋体" w:cs="宋体"/>
          <w:color w:val="auto"/>
          <w:sz w:val="24"/>
          <w:highlight w:val="none"/>
          <w:lang w:val="en-US" w:eastAsia="zh-CN"/>
        </w:rPr>
        <w:t>5%</w:t>
      </w:r>
      <w:r>
        <w:rPr>
          <w:rFonts w:hint="eastAsia" w:ascii="宋体" w:hAnsi="宋体" w:cs="宋体"/>
          <w:color w:val="auto"/>
          <w:sz w:val="24"/>
          <w:highlight w:val="none"/>
        </w:rPr>
        <w:t>的价格扣除，用扣除后的价格参与评审</w:t>
      </w:r>
      <w:r>
        <w:rPr>
          <w:rFonts w:hint="eastAsia" w:hAnsi="宋体" w:cs="宋体"/>
          <w:bCs/>
          <w:color w:val="auto"/>
          <w:sz w:val="24"/>
          <w:szCs w:val="24"/>
          <w:highlight w:val="none"/>
        </w:rPr>
        <w:t>的行为。</w:t>
      </w:r>
    </w:p>
    <w:p>
      <w:pPr>
        <w:pStyle w:val="11"/>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9、我方将严格遵守《中华人民共和国政府采购法》第七十七条规定，如有违反，将接受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1"/>
        <w:keepNext w:val="0"/>
        <w:keepLines w:val="0"/>
        <w:pageBreakBefore w:val="0"/>
        <w:widowControl/>
        <w:kinsoku/>
        <w:wordWrap/>
        <w:overflowPunct/>
        <w:topLinePunct w:val="0"/>
        <w:autoSpaceDE/>
        <w:autoSpaceDN/>
        <w:bidi w:val="0"/>
        <w:adjustRightInd/>
        <w:snapToGrid/>
        <w:spacing w:line="34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 xml:space="preserve">    10、谈判有效期：递交响应文件截止时间后不低于</w:t>
      </w:r>
      <w:r>
        <w:rPr>
          <w:rFonts w:hint="eastAsia" w:hAnsi="宋体" w:cs="宋体"/>
          <w:color w:val="auto"/>
          <w:sz w:val="24"/>
          <w:szCs w:val="24"/>
          <w:highlight w:val="none"/>
          <w:u w:val="single"/>
        </w:rPr>
        <w:t xml:space="preserve">    90   </w:t>
      </w:r>
      <w:r>
        <w:rPr>
          <w:rFonts w:hint="eastAsia" w:hAnsi="宋体" w:cs="宋体"/>
          <w:color w:val="auto"/>
          <w:sz w:val="24"/>
          <w:szCs w:val="24"/>
          <w:highlight w:val="none"/>
        </w:rPr>
        <w:t>天。</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（单位盖章）</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rPr>
          <w:rFonts w:hint="eastAsia"/>
          <w:lang w:val="en-US" w:eastAsia="zh-CN"/>
        </w:rPr>
      </w:pPr>
      <w:r>
        <w:rPr>
          <w:rFonts w:hint="eastAsia"/>
          <w:lang w:val="en-US" w:eastAsia="zh-CN"/>
        </w:rPr>
        <w:br w:type="page"/>
      </w:r>
    </w:p>
    <w:p>
      <w:pPr>
        <w:pStyle w:val="5"/>
        <w:bidi w:val="0"/>
        <w:rPr>
          <w:rFonts w:hint="eastAsia"/>
          <w:lang w:eastAsia="zh-CN"/>
        </w:rPr>
      </w:pPr>
      <w:r>
        <w:rPr>
          <w:rFonts w:hint="eastAsia"/>
          <w:lang w:eastAsia="zh-CN"/>
        </w:rPr>
        <w:t>三、报价一览表</w:t>
      </w:r>
    </w:p>
    <w:p>
      <w:pPr>
        <w:pStyle w:val="14"/>
        <w:pBdr>
          <w:bottom w:val="none" w:color="auto" w:sz="0" w:space="0"/>
        </w:pBdr>
        <w:tabs>
          <w:tab w:val="clear" w:pos="4153"/>
          <w:tab w:val="clear" w:pos="8306"/>
        </w:tabs>
        <w:snapToGrid/>
        <w:spacing w:line="400" w:lineRule="exact"/>
        <w:jc w:val="both"/>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eastAsia="zh-CN"/>
        </w:rPr>
        <w:t>项目</w:t>
      </w:r>
      <w:r>
        <w:rPr>
          <w:rFonts w:hint="eastAsia" w:ascii="宋体" w:hAnsi="宋体" w:cs="宋体"/>
          <w:b w:val="0"/>
          <w:bCs/>
          <w:color w:val="auto"/>
          <w:sz w:val="24"/>
          <w:szCs w:val="24"/>
          <w:highlight w:val="none"/>
        </w:rPr>
        <w:t xml:space="preserve">编号：          </w:t>
      </w:r>
    </w:p>
    <w:tbl>
      <w:tblPr>
        <w:tblStyle w:val="19"/>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2538"/>
        <w:gridCol w:w="1487"/>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928" w:type="dxa"/>
            <w:noWrap w:val="0"/>
            <w:vAlign w:val="center"/>
          </w:tcPr>
          <w:p>
            <w:pPr>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项目名称</w:t>
            </w:r>
          </w:p>
        </w:tc>
        <w:tc>
          <w:tcPr>
            <w:tcW w:w="2538" w:type="dxa"/>
            <w:noWrap w:val="0"/>
            <w:vAlign w:val="center"/>
          </w:tcPr>
          <w:p>
            <w:pPr>
              <w:rPr>
                <w:rFonts w:hint="eastAsia" w:ascii="宋体" w:hAnsi="宋体" w:cs="宋体"/>
                <w:b w:val="0"/>
                <w:bCs/>
                <w:color w:val="auto"/>
                <w:sz w:val="24"/>
                <w:highlight w:val="none"/>
              </w:rPr>
            </w:pPr>
            <w:r>
              <w:rPr>
                <w:rFonts w:hint="eastAsia" w:ascii="宋体" w:hAnsi="宋体" w:cs="宋体"/>
                <w:b w:val="0"/>
                <w:bCs/>
                <w:color w:val="auto"/>
                <w:sz w:val="24"/>
                <w:highlight w:val="none"/>
              </w:rPr>
              <w:t>总</w:t>
            </w:r>
            <w:r>
              <w:rPr>
                <w:rFonts w:hint="eastAsia" w:ascii="宋体" w:hAnsi="宋体" w:cs="宋体"/>
                <w:b w:val="0"/>
                <w:bCs/>
                <w:color w:val="auto"/>
                <w:sz w:val="24"/>
                <w:highlight w:val="none"/>
                <w:lang w:eastAsia="zh-CN"/>
              </w:rPr>
              <w:t>报价</w:t>
            </w:r>
            <w:r>
              <w:rPr>
                <w:rFonts w:hint="eastAsia" w:ascii="宋体" w:hAnsi="宋体" w:cs="宋体"/>
                <w:b w:val="0"/>
                <w:bCs/>
                <w:color w:val="auto"/>
                <w:sz w:val="24"/>
                <w:highlight w:val="none"/>
              </w:rPr>
              <w:t xml:space="preserve"> （万元）</w:t>
            </w:r>
          </w:p>
        </w:tc>
        <w:tc>
          <w:tcPr>
            <w:tcW w:w="1487" w:type="dxa"/>
            <w:noWrap w:val="0"/>
            <w:vAlign w:val="center"/>
          </w:tcPr>
          <w:p>
            <w:pPr>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服务</w:t>
            </w:r>
            <w:r>
              <w:rPr>
                <w:rFonts w:hint="eastAsia" w:ascii="宋体" w:hAnsi="宋体" w:cs="宋体"/>
                <w:b w:val="0"/>
                <w:bCs/>
                <w:color w:val="auto"/>
                <w:sz w:val="24"/>
                <w:highlight w:val="none"/>
              </w:rPr>
              <w:t>时间</w:t>
            </w:r>
          </w:p>
        </w:tc>
        <w:tc>
          <w:tcPr>
            <w:tcW w:w="2222" w:type="dxa"/>
            <w:noWrap w:val="0"/>
            <w:vAlign w:val="center"/>
          </w:tcPr>
          <w:p>
            <w:pPr>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是否中小微企业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928" w:type="dxa"/>
            <w:noWrap w:val="0"/>
            <w:vAlign w:val="center"/>
          </w:tcPr>
          <w:p>
            <w:pPr>
              <w:rPr>
                <w:rFonts w:hint="eastAsia" w:ascii="宋体" w:hAnsi="宋体" w:cs="宋体"/>
                <w:b w:val="0"/>
                <w:bCs/>
                <w:color w:val="auto"/>
                <w:sz w:val="24"/>
                <w:highlight w:val="none"/>
              </w:rPr>
            </w:pPr>
          </w:p>
        </w:tc>
        <w:tc>
          <w:tcPr>
            <w:tcW w:w="2538" w:type="dxa"/>
            <w:noWrap w:val="0"/>
            <w:vAlign w:val="center"/>
          </w:tcPr>
          <w:p>
            <w:pPr>
              <w:jc w:val="center"/>
              <w:rPr>
                <w:rFonts w:hint="eastAsia" w:ascii="宋体" w:hAnsi="宋体" w:cs="宋体"/>
                <w:b w:val="0"/>
                <w:bCs/>
                <w:color w:val="auto"/>
                <w:sz w:val="24"/>
                <w:highlight w:val="none"/>
              </w:rPr>
            </w:pPr>
          </w:p>
        </w:tc>
        <w:tc>
          <w:tcPr>
            <w:tcW w:w="1487" w:type="dxa"/>
            <w:noWrap w:val="0"/>
            <w:vAlign w:val="center"/>
          </w:tcPr>
          <w:p>
            <w:pPr>
              <w:jc w:val="center"/>
              <w:rPr>
                <w:rFonts w:hint="eastAsia" w:ascii="宋体" w:hAnsi="宋体" w:cs="宋体"/>
                <w:b w:val="0"/>
                <w:bCs/>
                <w:color w:val="auto"/>
                <w:sz w:val="24"/>
                <w:highlight w:val="none"/>
              </w:rPr>
            </w:pPr>
          </w:p>
        </w:tc>
        <w:tc>
          <w:tcPr>
            <w:tcW w:w="2222" w:type="dxa"/>
            <w:noWrap w:val="0"/>
            <w:vAlign w:val="center"/>
          </w:tcPr>
          <w:p>
            <w:pPr>
              <w:jc w:val="center"/>
              <w:rPr>
                <w:rFonts w:hint="eastAsia" w:ascii="宋体" w:hAnsi="宋体" w:cs="宋体"/>
                <w:b w:val="0"/>
                <w:bCs/>
                <w:color w:val="auto"/>
                <w:sz w:val="24"/>
                <w:highlight w:val="none"/>
              </w:rPr>
            </w:pPr>
          </w:p>
        </w:tc>
      </w:tr>
    </w:tbl>
    <w:p>
      <w:pPr>
        <w:ind w:left="840" w:hanging="840" w:hangingChars="350"/>
        <w:jc w:val="left"/>
        <w:rPr>
          <w:rFonts w:hint="eastAsia" w:ascii="宋体" w:hAnsi="宋体" w:cs="宋体"/>
          <w:color w:val="auto"/>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填写须知</w:t>
      </w:r>
      <w:r>
        <w:rPr>
          <w:rFonts w:hint="eastAsia" w:ascii="宋体" w:hAnsi="宋体" w:eastAsia="宋体" w:cs="宋体"/>
          <w:color w:val="auto"/>
          <w:sz w:val="24"/>
          <w:szCs w:val="24"/>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总报价</w:t>
      </w:r>
      <w:r>
        <w:rPr>
          <w:rFonts w:hint="eastAsia" w:ascii="宋体" w:hAnsi="宋体" w:eastAsia="宋体" w:cs="宋体"/>
          <w:color w:val="auto"/>
          <w:sz w:val="24"/>
          <w:szCs w:val="24"/>
          <w:highlight w:val="none"/>
        </w:rPr>
        <w:t>”应与“</w:t>
      </w:r>
      <w:r>
        <w:rPr>
          <w:rFonts w:hint="eastAsia" w:ascii="宋体" w:hAnsi="宋体" w:cs="宋体"/>
          <w:color w:val="auto"/>
          <w:sz w:val="24"/>
          <w:szCs w:val="24"/>
          <w:highlight w:val="none"/>
          <w:lang w:eastAsia="zh-CN"/>
        </w:rPr>
        <w:t>分项报价明细表</w:t>
      </w: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lang w:eastAsia="zh-CN"/>
        </w:rPr>
        <w:t>汇总价</w:t>
      </w:r>
      <w:r>
        <w:rPr>
          <w:rFonts w:hint="eastAsia" w:ascii="宋体" w:hAnsi="宋体" w:eastAsia="宋体" w:cs="宋体"/>
          <w:color w:val="auto"/>
          <w:sz w:val="24"/>
          <w:szCs w:val="24"/>
          <w:highlight w:val="none"/>
        </w:rPr>
        <w:t>一致</w:t>
      </w:r>
      <w:r>
        <w:rPr>
          <w:rFonts w:hint="eastAsia" w:ascii="宋体" w:hAnsi="宋体" w:cs="宋体"/>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报价一览表</w:t>
      </w:r>
      <w:r>
        <w:rPr>
          <w:rFonts w:hint="eastAsia" w:ascii="宋体" w:hAnsi="宋体" w:eastAsia="宋体" w:cs="宋体"/>
          <w:color w:val="auto"/>
          <w:sz w:val="24"/>
          <w:szCs w:val="24"/>
          <w:highlight w:val="none"/>
        </w:rPr>
        <w:t>”为多页的，每页均需由法定代表人（或负责人）或授权代表签字并盖供应商印章。</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参照</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政府采购促进中小企业发展管理办法</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（财库〔2020〕46号）</w:t>
      </w:r>
      <w:r>
        <w:rPr>
          <w:rFonts w:hint="eastAsia" w:ascii="宋体" w:hAnsi="宋体" w:eastAsia="宋体" w:cs="宋体"/>
          <w:color w:val="auto"/>
          <w:sz w:val="24"/>
          <w:szCs w:val="24"/>
          <w:highlight w:val="none"/>
        </w:rPr>
        <w:t>的规定，</w:t>
      </w:r>
      <w:r>
        <w:rPr>
          <w:rFonts w:hint="eastAsia" w:ascii="宋体" w:hAnsi="宋体" w:eastAsia="宋体" w:cs="宋体"/>
          <w:color w:val="auto"/>
          <w:sz w:val="24"/>
          <w:szCs w:val="24"/>
          <w:highlight w:val="none"/>
          <w:lang w:eastAsia="zh-CN"/>
        </w:rPr>
        <w:t>对小型</w:t>
      </w:r>
      <w:r>
        <w:rPr>
          <w:rFonts w:hint="eastAsia" w:ascii="宋体" w:hAnsi="宋体" w:cs="宋体"/>
          <w:color w:val="auto"/>
          <w:sz w:val="24"/>
          <w:szCs w:val="24"/>
          <w:highlight w:val="none"/>
          <w:lang w:eastAsia="zh-CN"/>
        </w:rPr>
        <w:t>和</w:t>
      </w:r>
      <w:r>
        <w:rPr>
          <w:rFonts w:hint="eastAsia" w:ascii="宋体" w:hAnsi="宋体" w:eastAsia="宋体" w:cs="宋体"/>
          <w:color w:val="auto"/>
          <w:sz w:val="24"/>
          <w:szCs w:val="24"/>
          <w:highlight w:val="none"/>
          <w:lang w:eastAsia="zh-CN"/>
        </w:rPr>
        <w:t>微型企业的</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lang w:eastAsia="zh-CN"/>
        </w:rPr>
        <w:t>给予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的价格扣除，用扣除后的价格参与评审。</w:t>
      </w:r>
      <w:r>
        <w:rPr>
          <w:rFonts w:hint="eastAsia" w:ascii="宋体" w:hAnsi="宋体" w:eastAsia="宋体" w:cs="宋体"/>
          <w:color w:val="auto"/>
          <w:sz w:val="24"/>
          <w:szCs w:val="24"/>
          <w:highlight w:val="none"/>
        </w:rPr>
        <w:t>参加</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活动的中小企业应提供《中小企业声明函》原件。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（签字或者加盖个人名章）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bidi w:val="0"/>
        <w:rPr>
          <w:rFonts w:hint="eastAsia"/>
          <w:lang w:val="en-US" w:eastAsia="zh-CN"/>
        </w:rPr>
      </w:pPr>
    </w:p>
    <w:p>
      <w:pPr>
        <w:bidi w:val="0"/>
        <w:rPr>
          <w:rFonts w:hint="eastAsia"/>
          <w:lang w:val="en-US"/>
        </w:rPr>
      </w:pPr>
    </w:p>
    <w:p>
      <w:pPr>
        <w:bidi w:val="0"/>
        <w:rPr>
          <w:rFonts w:hint="eastAsia"/>
        </w:rPr>
      </w:pPr>
      <w:r>
        <w:rPr>
          <w:rFonts w:hint="eastAsia"/>
        </w:rPr>
        <w:br w:type="page"/>
      </w:r>
      <w:bookmarkStart w:id="86" w:name="_Toc26503"/>
      <w:bookmarkStart w:id="87" w:name="_Toc18094"/>
      <w:bookmarkStart w:id="88" w:name="_Toc5650"/>
    </w:p>
    <w:p>
      <w:pPr>
        <w:pStyle w:val="5"/>
        <w:bidi w:val="0"/>
        <w:rPr>
          <w:rFonts w:hint="eastAsia"/>
          <w:lang w:eastAsia="zh-CN"/>
        </w:rPr>
      </w:pPr>
      <w:r>
        <w:rPr>
          <w:rFonts w:hint="eastAsia"/>
          <w:lang w:eastAsia="zh-CN"/>
        </w:rPr>
        <w:t>四、</w:t>
      </w:r>
      <w:r>
        <w:rPr>
          <w:rFonts w:hint="eastAsia"/>
        </w:rPr>
        <w:t>分项报价明细表</w:t>
      </w:r>
      <w:bookmarkEnd w:id="86"/>
      <w:bookmarkEnd w:id="87"/>
      <w:bookmarkEnd w:id="88"/>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p>
      <w:pPr>
        <w:adjustRightInd w:val="0"/>
        <w:spacing w:line="40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1、“分项报价明细表”为已标价</w:t>
      </w:r>
      <w:r>
        <w:rPr>
          <w:rFonts w:hint="eastAsia" w:ascii="宋体" w:hAnsi="宋体" w:cs="宋体"/>
          <w:bCs/>
          <w:color w:val="auto"/>
          <w:sz w:val="24"/>
          <w:highlight w:val="none"/>
          <w:lang w:eastAsia="zh-CN"/>
        </w:rPr>
        <w:t>的</w:t>
      </w:r>
      <w:r>
        <w:rPr>
          <w:rFonts w:hint="eastAsia" w:ascii="宋体" w:hAnsi="宋体" w:cs="宋体"/>
          <w:bCs/>
          <w:color w:val="auto"/>
          <w:sz w:val="24"/>
          <w:highlight w:val="none"/>
          <w:lang w:val="en-US" w:eastAsia="zh-CN"/>
        </w:rPr>
        <w:t>服务内容</w:t>
      </w:r>
      <w:r>
        <w:rPr>
          <w:rFonts w:hint="eastAsia" w:ascii="宋体" w:hAnsi="宋体" w:cs="宋体"/>
          <w:bCs/>
          <w:color w:val="auto"/>
          <w:sz w:val="24"/>
          <w:highlight w:val="none"/>
        </w:rPr>
        <w:t>。</w:t>
      </w:r>
    </w:p>
    <w:p>
      <w:pPr>
        <w:adjustRightInd w:val="0"/>
        <w:spacing w:line="40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2、“分项报价明细表”各分部分项报价合计应当与“</w:t>
      </w:r>
      <w:r>
        <w:rPr>
          <w:rFonts w:hint="eastAsia" w:ascii="宋体" w:hAnsi="宋体" w:cs="宋体"/>
          <w:bCs/>
          <w:color w:val="auto"/>
          <w:sz w:val="24"/>
          <w:highlight w:val="none"/>
          <w:lang w:eastAsia="zh-CN"/>
        </w:rPr>
        <w:t>报价一览表</w:t>
      </w:r>
      <w:r>
        <w:rPr>
          <w:rFonts w:hint="eastAsia" w:ascii="宋体" w:hAnsi="宋体" w:cs="宋体"/>
          <w:bCs/>
          <w:color w:val="auto"/>
          <w:sz w:val="24"/>
          <w:highlight w:val="none"/>
        </w:rPr>
        <w:t>”报价合计相等。</w:t>
      </w:r>
    </w:p>
    <w:p>
      <w:pPr>
        <w:ind w:firstLine="616" w:firstLineChars="257"/>
        <w:rPr>
          <w:rFonts w:hint="eastAsia" w:ascii="仿宋" w:hAnsi="仿宋" w:eastAsia="仿宋" w:cs="仿宋"/>
          <w:sz w:val="24"/>
        </w:rPr>
      </w:pPr>
      <w:r>
        <w:rPr>
          <w:rFonts w:hint="eastAsia" w:ascii="宋体" w:hAnsi="宋体" w:cs="宋体"/>
          <w:bCs/>
          <w:color w:val="auto"/>
          <w:sz w:val="24"/>
          <w:highlight w:val="none"/>
        </w:rPr>
        <w:t>3、</w:t>
      </w:r>
      <w:r>
        <w:rPr>
          <w:rFonts w:hint="eastAsia" w:ascii="宋体" w:hAnsi="宋体" w:cs="宋体"/>
          <w:bCs/>
          <w:color w:val="auto"/>
          <w:sz w:val="24"/>
          <w:highlight w:val="none"/>
          <w:lang w:eastAsia="zh-CN"/>
        </w:rPr>
        <w:t>参照</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政府采购促进中小企业发展管理办法</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（财库〔2020〕46号）</w:t>
      </w:r>
      <w:r>
        <w:rPr>
          <w:rFonts w:hint="eastAsia" w:ascii="宋体" w:hAnsi="宋体" w:cs="宋体"/>
          <w:bCs/>
          <w:color w:val="auto"/>
          <w:sz w:val="24"/>
          <w:highlight w:val="none"/>
        </w:rPr>
        <w:t>的规定，对小型和微型企业的报价给予</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的价格扣除，用扣除后的价格参与评审。参加</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活动的中小企业应提供《中小企业声明函》原件</w:t>
      </w:r>
      <w:r>
        <w:rPr>
          <w:rFonts w:hint="eastAsia" w:ascii="宋体" w:hAnsi="宋体" w:cs="宋体"/>
          <w:bCs/>
          <w:color w:val="auto"/>
          <w:sz w:val="24"/>
          <w:highlight w:val="none"/>
          <w:lang w:eastAsia="zh-CN"/>
        </w:rPr>
        <w:t>。</w:t>
      </w:r>
    </w:p>
    <w:p>
      <w:pPr>
        <w:bidi w:val="0"/>
        <w:rPr>
          <w:rFonts w:hint="eastAsia"/>
        </w:rPr>
      </w:pPr>
    </w:p>
    <w:p>
      <w:pPr>
        <w:rPr>
          <w:rFonts w:hint="eastAsia"/>
          <w:color w:val="auto"/>
          <w:highlight w:val="none"/>
          <w:lang w:eastAsia="zh-CN"/>
        </w:rPr>
      </w:pPr>
      <w:r>
        <w:rPr>
          <w:rFonts w:hint="eastAsia"/>
          <w:color w:val="auto"/>
          <w:highlight w:val="none"/>
          <w:lang w:eastAsia="zh-CN"/>
        </w:rPr>
        <w:br w:type="page"/>
      </w:r>
    </w:p>
    <w:p>
      <w:pPr>
        <w:pStyle w:val="5"/>
        <w:bidi w:val="0"/>
        <w:rPr>
          <w:rFonts w:hint="eastAsia"/>
          <w:color w:val="auto"/>
          <w:highlight w:val="none"/>
        </w:rPr>
      </w:pPr>
      <w:r>
        <w:rPr>
          <w:rFonts w:hint="eastAsia"/>
          <w:color w:val="auto"/>
          <w:highlight w:val="none"/>
          <w:lang w:eastAsia="zh-CN"/>
        </w:rPr>
        <w:t>五、</w:t>
      </w:r>
      <w:r>
        <w:rPr>
          <w:rFonts w:hint="eastAsia"/>
          <w:color w:val="auto"/>
          <w:highlight w:val="none"/>
        </w:rPr>
        <w:t>技术、服务要求应答表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752"/>
        <w:gridCol w:w="2751"/>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4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52"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275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w:t>
            </w:r>
          </w:p>
        </w:tc>
        <w:tc>
          <w:tcPr>
            <w:tcW w:w="2752"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41" w:type="dxa"/>
            <w:noWrap w:val="0"/>
            <w:vAlign w:val="top"/>
          </w:tcPr>
          <w:p>
            <w:pPr>
              <w:jc w:val="center"/>
              <w:rPr>
                <w:rFonts w:hint="eastAsia" w:ascii="宋体" w:hAnsi="宋体" w:eastAsia="宋体" w:cs="宋体"/>
                <w:color w:val="auto"/>
                <w:sz w:val="24"/>
                <w:szCs w:val="24"/>
                <w:highlight w:val="none"/>
              </w:rPr>
            </w:pPr>
          </w:p>
        </w:tc>
        <w:tc>
          <w:tcPr>
            <w:tcW w:w="2752" w:type="dxa"/>
            <w:noWrap w:val="0"/>
            <w:vAlign w:val="top"/>
          </w:tcPr>
          <w:p>
            <w:pPr>
              <w:jc w:val="center"/>
              <w:rPr>
                <w:rFonts w:hint="eastAsia" w:ascii="宋体" w:hAnsi="宋体" w:eastAsia="宋体" w:cs="宋体"/>
                <w:color w:val="auto"/>
                <w:sz w:val="24"/>
                <w:szCs w:val="24"/>
                <w:highlight w:val="none"/>
              </w:rPr>
            </w:pPr>
          </w:p>
        </w:tc>
        <w:tc>
          <w:tcPr>
            <w:tcW w:w="2751" w:type="dxa"/>
            <w:noWrap w:val="0"/>
            <w:vAlign w:val="top"/>
          </w:tcPr>
          <w:p>
            <w:pPr>
              <w:jc w:val="center"/>
              <w:rPr>
                <w:rFonts w:hint="eastAsia" w:ascii="宋体" w:hAnsi="宋体" w:eastAsia="宋体" w:cs="宋体"/>
                <w:color w:val="auto"/>
                <w:sz w:val="24"/>
                <w:szCs w:val="24"/>
                <w:highlight w:val="none"/>
              </w:rPr>
            </w:pPr>
          </w:p>
        </w:tc>
        <w:tc>
          <w:tcPr>
            <w:tcW w:w="2752"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41" w:type="dxa"/>
            <w:noWrap w:val="0"/>
            <w:vAlign w:val="top"/>
          </w:tcPr>
          <w:p>
            <w:pPr>
              <w:jc w:val="center"/>
              <w:rPr>
                <w:rFonts w:hint="eastAsia" w:ascii="宋体" w:hAnsi="宋体" w:eastAsia="宋体" w:cs="宋体"/>
                <w:color w:val="auto"/>
                <w:sz w:val="24"/>
                <w:szCs w:val="24"/>
                <w:highlight w:val="none"/>
              </w:rPr>
            </w:pPr>
          </w:p>
        </w:tc>
        <w:tc>
          <w:tcPr>
            <w:tcW w:w="2752" w:type="dxa"/>
            <w:noWrap w:val="0"/>
            <w:vAlign w:val="top"/>
          </w:tcPr>
          <w:p>
            <w:pPr>
              <w:jc w:val="center"/>
              <w:rPr>
                <w:rFonts w:hint="eastAsia" w:ascii="宋体" w:hAnsi="宋体" w:eastAsia="宋体" w:cs="宋体"/>
                <w:color w:val="auto"/>
                <w:sz w:val="24"/>
                <w:szCs w:val="24"/>
                <w:highlight w:val="none"/>
              </w:rPr>
            </w:pPr>
          </w:p>
        </w:tc>
        <w:tc>
          <w:tcPr>
            <w:tcW w:w="2751" w:type="dxa"/>
            <w:noWrap w:val="0"/>
            <w:vAlign w:val="top"/>
          </w:tcPr>
          <w:p>
            <w:pPr>
              <w:jc w:val="center"/>
              <w:rPr>
                <w:rFonts w:hint="eastAsia" w:ascii="宋体" w:hAnsi="宋体" w:eastAsia="宋体" w:cs="宋体"/>
                <w:color w:val="auto"/>
                <w:sz w:val="24"/>
                <w:szCs w:val="24"/>
                <w:highlight w:val="none"/>
              </w:rPr>
            </w:pPr>
          </w:p>
        </w:tc>
        <w:tc>
          <w:tcPr>
            <w:tcW w:w="2752"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41" w:type="dxa"/>
            <w:noWrap w:val="0"/>
            <w:vAlign w:val="top"/>
          </w:tcPr>
          <w:p>
            <w:pPr>
              <w:jc w:val="center"/>
              <w:rPr>
                <w:rFonts w:hint="eastAsia" w:ascii="宋体" w:hAnsi="宋体" w:eastAsia="宋体" w:cs="宋体"/>
                <w:color w:val="auto"/>
                <w:sz w:val="24"/>
                <w:szCs w:val="24"/>
                <w:highlight w:val="none"/>
              </w:rPr>
            </w:pPr>
          </w:p>
        </w:tc>
        <w:tc>
          <w:tcPr>
            <w:tcW w:w="2752" w:type="dxa"/>
            <w:noWrap w:val="0"/>
            <w:vAlign w:val="top"/>
          </w:tcPr>
          <w:p>
            <w:pPr>
              <w:jc w:val="center"/>
              <w:rPr>
                <w:rFonts w:hint="eastAsia" w:ascii="宋体" w:hAnsi="宋体" w:eastAsia="宋体" w:cs="宋体"/>
                <w:color w:val="auto"/>
                <w:sz w:val="24"/>
                <w:szCs w:val="24"/>
                <w:highlight w:val="none"/>
              </w:rPr>
            </w:pPr>
          </w:p>
        </w:tc>
        <w:tc>
          <w:tcPr>
            <w:tcW w:w="2751" w:type="dxa"/>
            <w:noWrap w:val="0"/>
            <w:vAlign w:val="top"/>
          </w:tcPr>
          <w:p>
            <w:pPr>
              <w:jc w:val="center"/>
              <w:rPr>
                <w:rFonts w:hint="eastAsia" w:ascii="宋体" w:hAnsi="宋体" w:eastAsia="宋体" w:cs="宋体"/>
                <w:color w:val="auto"/>
                <w:sz w:val="24"/>
                <w:szCs w:val="24"/>
                <w:highlight w:val="none"/>
              </w:rPr>
            </w:pPr>
          </w:p>
        </w:tc>
        <w:tc>
          <w:tcPr>
            <w:tcW w:w="2752"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41" w:type="dxa"/>
            <w:noWrap w:val="0"/>
            <w:vAlign w:val="top"/>
          </w:tcPr>
          <w:p>
            <w:pPr>
              <w:jc w:val="center"/>
              <w:rPr>
                <w:rFonts w:hint="eastAsia" w:ascii="宋体" w:hAnsi="宋体" w:eastAsia="宋体" w:cs="宋体"/>
                <w:color w:val="auto"/>
                <w:sz w:val="24"/>
                <w:szCs w:val="24"/>
                <w:highlight w:val="none"/>
              </w:rPr>
            </w:pPr>
          </w:p>
        </w:tc>
        <w:tc>
          <w:tcPr>
            <w:tcW w:w="2752" w:type="dxa"/>
            <w:noWrap w:val="0"/>
            <w:vAlign w:val="top"/>
          </w:tcPr>
          <w:p>
            <w:pPr>
              <w:jc w:val="center"/>
              <w:rPr>
                <w:rFonts w:hint="eastAsia" w:ascii="宋体" w:hAnsi="宋体" w:eastAsia="宋体" w:cs="宋体"/>
                <w:color w:val="auto"/>
                <w:sz w:val="24"/>
                <w:szCs w:val="24"/>
                <w:highlight w:val="none"/>
              </w:rPr>
            </w:pPr>
          </w:p>
        </w:tc>
        <w:tc>
          <w:tcPr>
            <w:tcW w:w="2751" w:type="dxa"/>
            <w:noWrap w:val="0"/>
            <w:vAlign w:val="top"/>
          </w:tcPr>
          <w:p>
            <w:pPr>
              <w:jc w:val="center"/>
              <w:rPr>
                <w:rFonts w:hint="eastAsia" w:ascii="宋体" w:hAnsi="宋体" w:eastAsia="宋体" w:cs="宋体"/>
                <w:color w:val="auto"/>
                <w:sz w:val="24"/>
                <w:szCs w:val="24"/>
                <w:highlight w:val="none"/>
              </w:rPr>
            </w:pPr>
          </w:p>
        </w:tc>
        <w:tc>
          <w:tcPr>
            <w:tcW w:w="2752" w:type="dxa"/>
            <w:noWrap w:val="0"/>
            <w:vAlign w:val="top"/>
          </w:tcPr>
          <w:p>
            <w:pPr>
              <w:jc w:val="center"/>
              <w:rPr>
                <w:rFonts w:hint="eastAsia" w:ascii="宋体" w:hAnsi="宋体" w:eastAsia="宋体" w:cs="宋体"/>
                <w:color w:val="auto"/>
                <w:sz w:val="24"/>
                <w:szCs w:val="24"/>
                <w:highlight w:val="none"/>
              </w:rPr>
            </w:pPr>
          </w:p>
        </w:tc>
      </w:tr>
    </w:tbl>
    <w:p>
      <w:pPr>
        <w:ind w:firstLine="482" w:firstLineChars="200"/>
        <w:rPr>
          <w:rFonts w:hint="eastAsia" w:ascii="宋体" w:hAnsi="宋体" w:eastAsia="宋体" w:cs="宋体"/>
          <w:b/>
          <w:color w:val="auto"/>
          <w:sz w:val="24"/>
          <w:szCs w:val="24"/>
          <w:highlight w:val="none"/>
        </w:rPr>
      </w:pPr>
    </w:p>
    <w:p>
      <w:pPr>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注：供应商必须把谈判文件第五章</w:t>
      </w:r>
      <w:r>
        <w:rPr>
          <w:rFonts w:hint="eastAsia" w:ascii="宋体" w:hAnsi="宋体" w:cs="宋体"/>
          <w:color w:val="auto"/>
          <w:sz w:val="24"/>
          <w:szCs w:val="24"/>
          <w:highlight w:val="none"/>
          <w:lang w:eastAsia="zh-CN"/>
        </w:rPr>
        <w:t>技术、服务</w:t>
      </w:r>
      <w:r>
        <w:rPr>
          <w:rFonts w:hint="eastAsia" w:ascii="宋体" w:hAnsi="宋体" w:eastAsia="宋体" w:cs="宋体"/>
          <w:color w:val="auto"/>
          <w:sz w:val="24"/>
          <w:szCs w:val="24"/>
          <w:highlight w:val="none"/>
        </w:rPr>
        <w:t>要求的响应情况逐条列入此表，不得虚假响应，虚假响应的，其响应文件无效并按规定追究其相关责任。</w:t>
      </w:r>
    </w:p>
    <w:p>
      <w:pPr>
        <w:adjustRightInd w:val="0"/>
        <w:spacing w:line="400" w:lineRule="exact"/>
        <w:ind w:firstLine="480" w:firstLineChars="200"/>
        <w:jc w:val="left"/>
        <w:rPr>
          <w:rFonts w:hint="eastAsia" w:ascii="宋体" w:hAnsi="宋体" w:eastAsia="宋体" w:cs="宋体"/>
          <w:color w:val="auto"/>
          <w:sz w:val="24"/>
          <w:szCs w:val="24"/>
          <w:highlight w:val="none"/>
        </w:rPr>
      </w:pPr>
    </w:p>
    <w:p>
      <w:pPr>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供应商名称：XXX（盖单位公章）</w:t>
      </w:r>
    </w:p>
    <w:p>
      <w:pPr>
        <w:adjustRightInd w:val="0"/>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法定代表人或授权代表（签字或盖章）：XXX</w:t>
      </w:r>
    </w:p>
    <w:p>
      <w:pPr>
        <w:adjustRightInd w:val="0"/>
        <w:spacing w:line="400" w:lineRule="exact"/>
        <w:ind w:firstLine="540" w:firstLineChars="225"/>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  期</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XXX年XXX月XXX日</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r>
        <w:rPr>
          <w:rFonts w:hint="eastAsia"/>
          <w:lang w:eastAsia="zh-CN"/>
        </w:rPr>
        <w:br w:type="page"/>
      </w:r>
    </w:p>
    <w:p>
      <w:pPr>
        <w:pStyle w:val="5"/>
        <w:bidi w:val="0"/>
        <w:rPr>
          <w:rFonts w:hint="eastAsia"/>
        </w:rPr>
      </w:pPr>
      <w:r>
        <w:rPr>
          <w:rFonts w:hint="eastAsia"/>
          <w:lang w:eastAsia="zh-CN"/>
        </w:rPr>
        <w:t>六、</w:t>
      </w:r>
      <w:r>
        <w:rPr>
          <w:rFonts w:hint="eastAsia"/>
        </w:rPr>
        <w:t>商务应答表</w:t>
      </w:r>
    </w:p>
    <w:p>
      <w:pPr>
        <w:numPr>
          <w:ilvl w:val="0"/>
          <w:numId w:val="0"/>
        </w:numPr>
        <w:ind w:leftChars="0"/>
        <w:rPr>
          <w:rFonts w:hint="eastAsia"/>
          <w:color w:val="auto"/>
          <w:highlight w:val="none"/>
        </w:rPr>
      </w:pPr>
    </w:p>
    <w:tbl>
      <w:tblPr>
        <w:tblStyle w:val="1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9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要求</w:t>
            </w:r>
          </w:p>
        </w:tc>
        <w:tc>
          <w:tcPr>
            <w:tcW w:w="279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w:t>
            </w:r>
          </w:p>
        </w:tc>
        <w:tc>
          <w:tcPr>
            <w:tcW w:w="279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795" w:type="dxa"/>
            <w:noWrap w:val="0"/>
            <w:vAlign w:val="top"/>
          </w:tcPr>
          <w:p>
            <w:pPr>
              <w:jc w:val="center"/>
              <w:rPr>
                <w:rFonts w:hint="eastAsia" w:ascii="宋体" w:hAnsi="宋体" w:eastAsia="宋体" w:cs="宋体"/>
                <w:color w:val="auto"/>
                <w:sz w:val="24"/>
                <w:szCs w:val="24"/>
                <w:highlight w:val="none"/>
              </w:rPr>
            </w:pPr>
          </w:p>
        </w:tc>
        <w:tc>
          <w:tcPr>
            <w:tcW w:w="2795" w:type="dxa"/>
            <w:noWrap w:val="0"/>
            <w:vAlign w:val="top"/>
          </w:tcPr>
          <w:p>
            <w:pPr>
              <w:jc w:val="center"/>
              <w:rPr>
                <w:rFonts w:hint="eastAsia" w:ascii="宋体" w:hAnsi="宋体" w:eastAsia="宋体" w:cs="宋体"/>
                <w:color w:val="auto"/>
                <w:sz w:val="24"/>
                <w:szCs w:val="24"/>
                <w:highlight w:val="none"/>
              </w:rPr>
            </w:pPr>
          </w:p>
        </w:tc>
        <w:tc>
          <w:tcPr>
            <w:tcW w:w="2795"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795" w:type="dxa"/>
            <w:noWrap w:val="0"/>
            <w:vAlign w:val="top"/>
          </w:tcPr>
          <w:p>
            <w:pPr>
              <w:jc w:val="center"/>
              <w:rPr>
                <w:rFonts w:hint="eastAsia" w:ascii="宋体" w:hAnsi="宋体" w:eastAsia="宋体" w:cs="宋体"/>
                <w:color w:val="auto"/>
                <w:sz w:val="24"/>
                <w:szCs w:val="24"/>
                <w:highlight w:val="none"/>
              </w:rPr>
            </w:pPr>
          </w:p>
        </w:tc>
        <w:tc>
          <w:tcPr>
            <w:tcW w:w="2795" w:type="dxa"/>
            <w:noWrap w:val="0"/>
            <w:vAlign w:val="top"/>
          </w:tcPr>
          <w:p>
            <w:pPr>
              <w:jc w:val="center"/>
              <w:rPr>
                <w:rFonts w:hint="eastAsia" w:ascii="宋体" w:hAnsi="宋体" w:eastAsia="宋体" w:cs="宋体"/>
                <w:color w:val="auto"/>
                <w:sz w:val="24"/>
                <w:szCs w:val="24"/>
                <w:highlight w:val="none"/>
              </w:rPr>
            </w:pPr>
          </w:p>
        </w:tc>
        <w:tc>
          <w:tcPr>
            <w:tcW w:w="2795"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795" w:type="dxa"/>
            <w:noWrap w:val="0"/>
            <w:vAlign w:val="top"/>
          </w:tcPr>
          <w:p>
            <w:pPr>
              <w:jc w:val="center"/>
              <w:rPr>
                <w:rFonts w:hint="eastAsia" w:ascii="宋体" w:hAnsi="宋体" w:eastAsia="宋体" w:cs="宋体"/>
                <w:color w:val="auto"/>
                <w:sz w:val="24"/>
                <w:szCs w:val="24"/>
                <w:highlight w:val="none"/>
              </w:rPr>
            </w:pPr>
          </w:p>
        </w:tc>
        <w:tc>
          <w:tcPr>
            <w:tcW w:w="2795" w:type="dxa"/>
            <w:noWrap w:val="0"/>
            <w:vAlign w:val="top"/>
          </w:tcPr>
          <w:p>
            <w:pPr>
              <w:jc w:val="center"/>
              <w:rPr>
                <w:rFonts w:hint="eastAsia" w:ascii="宋体" w:hAnsi="宋体" w:eastAsia="宋体" w:cs="宋体"/>
                <w:color w:val="auto"/>
                <w:sz w:val="24"/>
                <w:szCs w:val="24"/>
                <w:highlight w:val="none"/>
              </w:rPr>
            </w:pPr>
          </w:p>
        </w:tc>
        <w:tc>
          <w:tcPr>
            <w:tcW w:w="2795"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795" w:type="dxa"/>
            <w:noWrap w:val="0"/>
            <w:vAlign w:val="top"/>
          </w:tcPr>
          <w:p>
            <w:pPr>
              <w:jc w:val="center"/>
              <w:rPr>
                <w:rFonts w:hint="eastAsia" w:ascii="宋体" w:hAnsi="宋体" w:eastAsia="宋体" w:cs="宋体"/>
                <w:color w:val="auto"/>
                <w:sz w:val="24"/>
                <w:szCs w:val="24"/>
                <w:highlight w:val="none"/>
              </w:rPr>
            </w:pPr>
          </w:p>
        </w:tc>
        <w:tc>
          <w:tcPr>
            <w:tcW w:w="2795" w:type="dxa"/>
            <w:noWrap w:val="0"/>
            <w:vAlign w:val="top"/>
          </w:tcPr>
          <w:p>
            <w:pPr>
              <w:jc w:val="center"/>
              <w:rPr>
                <w:rFonts w:hint="eastAsia" w:ascii="宋体" w:hAnsi="宋体" w:eastAsia="宋体" w:cs="宋体"/>
                <w:color w:val="auto"/>
                <w:sz w:val="24"/>
                <w:szCs w:val="24"/>
                <w:highlight w:val="none"/>
              </w:rPr>
            </w:pPr>
          </w:p>
        </w:tc>
        <w:tc>
          <w:tcPr>
            <w:tcW w:w="2795" w:type="dxa"/>
            <w:noWrap w:val="0"/>
            <w:vAlign w:val="top"/>
          </w:tcPr>
          <w:p>
            <w:pPr>
              <w:jc w:val="center"/>
              <w:rPr>
                <w:rFonts w:hint="eastAsia" w:ascii="宋体" w:hAnsi="宋体" w:eastAsia="宋体" w:cs="宋体"/>
                <w:color w:val="auto"/>
                <w:sz w:val="24"/>
                <w:szCs w:val="24"/>
                <w:highlight w:val="none"/>
              </w:rPr>
            </w:pPr>
          </w:p>
        </w:tc>
      </w:tr>
    </w:tbl>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pPr>
        <w:numPr>
          <w:ilvl w:val="0"/>
          <w:numId w:val="7"/>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供应商必须把谈判文件第五章的全部</w:t>
      </w:r>
      <w:r>
        <w:rPr>
          <w:rFonts w:hint="eastAsia" w:ascii="宋体" w:hAnsi="宋体" w:cs="宋体"/>
          <w:color w:val="auto"/>
          <w:sz w:val="24"/>
          <w:szCs w:val="24"/>
          <w:highlight w:val="none"/>
          <w:lang w:eastAsia="zh-CN"/>
        </w:rPr>
        <w:t>商务</w:t>
      </w:r>
      <w:r>
        <w:rPr>
          <w:rFonts w:hint="eastAsia" w:ascii="宋体" w:hAnsi="宋体" w:eastAsia="宋体" w:cs="宋体"/>
          <w:color w:val="auto"/>
          <w:sz w:val="24"/>
          <w:szCs w:val="24"/>
          <w:highlight w:val="none"/>
          <w:lang w:eastAsia="zh-CN"/>
        </w:rPr>
        <w:t>要求的响应情况</w:t>
      </w:r>
      <w:r>
        <w:rPr>
          <w:rFonts w:hint="eastAsia" w:ascii="宋体" w:hAnsi="宋体" w:eastAsia="宋体" w:cs="宋体"/>
          <w:color w:val="auto"/>
          <w:sz w:val="24"/>
          <w:szCs w:val="24"/>
          <w:highlight w:val="none"/>
        </w:rPr>
        <w:t>逐条列入此表。</w:t>
      </w:r>
    </w:p>
    <w:p>
      <w:pPr>
        <w:numPr>
          <w:ilvl w:val="0"/>
          <w:numId w:val="7"/>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未在本表中响应的，视为同意</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要求。</w:t>
      </w:r>
    </w:p>
    <w:p>
      <w:pPr>
        <w:ind w:firstLine="482" w:firstLineChars="200"/>
        <w:rPr>
          <w:rFonts w:hint="eastAsia" w:ascii="宋体" w:hAnsi="宋体" w:eastAsia="宋体" w:cs="宋体"/>
          <w:b/>
          <w:color w:val="auto"/>
          <w:sz w:val="24"/>
          <w:szCs w:val="24"/>
          <w:highlight w:val="none"/>
        </w:rPr>
      </w:pPr>
    </w:p>
    <w:p>
      <w:pPr>
        <w:bidi w:val="0"/>
        <w:rPr>
          <w:rFonts w:hint="eastAsia"/>
        </w:rPr>
      </w:pPr>
    </w:p>
    <w:p>
      <w:pPr>
        <w:bidi w:val="0"/>
        <w:rPr>
          <w:rFonts w:hint="eastAsia"/>
        </w:rPr>
      </w:pPr>
    </w:p>
    <w:p>
      <w:pPr>
        <w:rPr>
          <w:rFonts w:hint="eastAsia"/>
          <w:color w:val="auto"/>
          <w:highlight w:val="none"/>
        </w:rPr>
      </w:pPr>
    </w:p>
    <w:p>
      <w:pPr>
        <w:adjustRightInd w:val="0"/>
        <w:spacing w:line="400" w:lineRule="exact"/>
        <w:ind w:firstLine="480" w:firstLineChars="20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（签字或者加盖个人名章）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spacing w:beforeLines="0" w:afterLines="0"/>
        <w:ind w:left="852" w:leftChars="0" w:hanging="852" w:hangingChars="355"/>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color w:val="auto"/>
          <w:sz w:val="24"/>
          <w:szCs w:val="24"/>
          <w:highlight w:val="none"/>
          <w:lang w:eastAsia="zh-CN"/>
        </w:rPr>
      </w:pPr>
      <w:bookmarkStart w:id="89" w:name="_Toc13708"/>
    </w:p>
    <w:p>
      <w:pPr>
        <w:pStyle w:val="9"/>
        <w:rPr>
          <w:rFonts w:hint="eastAsia"/>
          <w:color w:val="auto"/>
          <w:highlight w:val="none"/>
          <w:lang w:eastAsia="zh-CN"/>
        </w:rPr>
      </w:pPr>
    </w:p>
    <w:bookmarkEnd w:id="89"/>
    <w:p>
      <w:pPr>
        <w:pStyle w:val="5"/>
        <w:bidi w:val="0"/>
        <w:rPr>
          <w:rFonts w:hint="eastAsia"/>
          <w:color w:val="FF0000"/>
          <w:highlight w:val="none"/>
          <w:lang w:eastAsia="zh-CN"/>
        </w:rPr>
      </w:pPr>
      <w:bookmarkStart w:id="90" w:name="_Toc26550"/>
      <w:bookmarkStart w:id="91" w:name="_Toc7438"/>
      <w:bookmarkStart w:id="92" w:name="_Toc1378"/>
      <w:bookmarkStart w:id="93" w:name="_Toc18626"/>
      <w:bookmarkStart w:id="94" w:name="_Toc6212"/>
      <w:r>
        <w:rPr>
          <w:rFonts w:hint="eastAsia"/>
          <w:color w:val="FF0000"/>
          <w:highlight w:val="none"/>
          <w:lang w:eastAsia="zh-CN"/>
        </w:rPr>
        <w:t>七、供应商本项目管理、技术、服务人员情况表</w:t>
      </w:r>
      <w:bookmarkEnd w:id="90"/>
      <w:bookmarkEnd w:id="91"/>
      <w:bookmarkEnd w:id="92"/>
      <w:bookmarkEnd w:id="93"/>
      <w:bookmarkEnd w:id="94"/>
    </w:p>
    <w:tbl>
      <w:tblPr>
        <w:tblStyle w:val="19"/>
        <w:tblW w:w="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327"/>
        <w:gridCol w:w="900"/>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26"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bookmarkStart w:id="95" w:name="_Toc1164"/>
            <w:bookmarkStart w:id="96" w:name="_Toc32081"/>
            <w:bookmarkStart w:id="97" w:name="_Toc14854"/>
            <w:bookmarkStart w:id="98" w:name="_Toc20980"/>
            <w:bookmarkStart w:id="99" w:name="_Toc6368"/>
            <w:bookmarkStart w:id="100" w:name="_Toc31538"/>
            <w:r>
              <w:rPr>
                <w:rFonts w:hint="eastAsia" w:ascii="宋体" w:hAnsi="宋体" w:eastAsia="宋体" w:cs="宋体"/>
                <w:color w:val="auto"/>
                <w:sz w:val="24"/>
                <w:szCs w:val="24"/>
                <w:highlight w:val="none"/>
              </w:rPr>
              <w:t>类别</w:t>
            </w:r>
            <w:bookmarkEnd w:id="95"/>
            <w:bookmarkEnd w:id="96"/>
            <w:bookmarkEnd w:id="97"/>
            <w:bookmarkEnd w:id="98"/>
            <w:bookmarkEnd w:id="99"/>
            <w:bookmarkEnd w:id="100"/>
          </w:p>
        </w:tc>
        <w:tc>
          <w:tcPr>
            <w:tcW w:w="1327"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bookmarkStart w:id="101" w:name="_Toc14999"/>
            <w:bookmarkStart w:id="102" w:name="_Toc10724"/>
            <w:bookmarkStart w:id="103" w:name="_Toc7079"/>
            <w:bookmarkStart w:id="104" w:name="_Toc9468"/>
            <w:bookmarkStart w:id="105" w:name="_Toc12090"/>
            <w:bookmarkStart w:id="106" w:name="_Toc11646"/>
            <w:r>
              <w:rPr>
                <w:rFonts w:hint="eastAsia" w:ascii="宋体" w:hAnsi="宋体" w:eastAsia="宋体" w:cs="宋体"/>
                <w:color w:val="auto"/>
                <w:sz w:val="24"/>
                <w:szCs w:val="24"/>
                <w:highlight w:val="none"/>
              </w:rPr>
              <w:t>职务</w:t>
            </w:r>
            <w:bookmarkEnd w:id="101"/>
            <w:bookmarkEnd w:id="102"/>
            <w:bookmarkEnd w:id="103"/>
            <w:bookmarkEnd w:id="104"/>
            <w:bookmarkEnd w:id="105"/>
            <w:bookmarkEnd w:id="106"/>
          </w:p>
        </w:tc>
        <w:tc>
          <w:tcPr>
            <w:tcW w:w="900"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bookmarkStart w:id="107" w:name="_Toc7831"/>
            <w:bookmarkStart w:id="108" w:name="_Toc27648"/>
            <w:bookmarkStart w:id="109" w:name="_Toc25720"/>
            <w:bookmarkStart w:id="110" w:name="_Toc13485"/>
            <w:bookmarkStart w:id="111" w:name="_Toc28990"/>
            <w:bookmarkStart w:id="112" w:name="_Toc7944"/>
            <w:r>
              <w:rPr>
                <w:rFonts w:hint="eastAsia" w:ascii="宋体" w:hAnsi="宋体" w:eastAsia="宋体" w:cs="宋体"/>
                <w:color w:val="auto"/>
                <w:sz w:val="24"/>
                <w:szCs w:val="24"/>
                <w:highlight w:val="none"/>
              </w:rPr>
              <w:t>姓名</w:t>
            </w:r>
            <w:bookmarkEnd w:id="107"/>
            <w:bookmarkEnd w:id="108"/>
            <w:bookmarkEnd w:id="109"/>
            <w:bookmarkEnd w:id="110"/>
            <w:bookmarkEnd w:id="111"/>
            <w:bookmarkEnd w:id="112"/>
          </w:p>
        </w:tc>
        <w:tc>
          <w:tcPr>
            <w:tcW w:w="949"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bookmarkStart w:id="113" w:name="_Toc10528"/>
            <w:bookmarkStart w:id="114" w:name="_Toc18259"/>
            <w:bookmarkStart w:id="115" w:name="_Toc26091"/>
            <w:bookmarkStart w:id="116" w:name="_Toc2818"/>
            <w:bookmarkStart w:id="117" w:name="_Toc5646"/>
            <w:bookmarkStart w:id="118" w:name="_Toc4059"/>
            <w:r>
              <w:rPr>
                <w:rFonts w:hint="eastAsia" w:ascii="宋体" w:hAnsi="宋体" w:eastAsia="宋体" w:cs="宋体"/>
                <w:color w:val="auto"/>
                <w:sz w:val="24"/>
                <w:szCs w:val="24"/>
                <w:highlight w:val="none"/>
              </w:rPr>
              <w:t>常住地</w:t>
            </w:r>
            <w:bookmarkEnd w:id="113"/>
            <w:bookmarkEnd w:id="114"/>
            <w:bookmarkEnd w:id="115"/>
            <w:bookmarkEnd w:id="116"/>
            <w:bookmarkEnd w:id="117"/>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26"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7"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90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949"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bookmarkStart w:id="119" w:name="_Toc13324"/>
            <w:bookmarkStart w:id="120" w:name="_Toc15154"/>
            <w:bookmarkStart w:id="121" w:name="_Toc6791"/>
            <w:bookmarkStart w:id="122" w:name="_Toc31488"/>
            <w:bookmarkStart w:id="123" w:name="_Toc14951"/>
            <w:bookmarkStart w:id="124" w:name="_Toc26014"/>
            <w:r>
              <w:rPr>
                <w:rFonts w:hint="eastAsia" w:ascii="宋体" w:hAnsi="宋体" w:eastAsia="宋体" w:cs="宋体"/>
                <w:color w:val="auto"/>
                <w:sz w:val="24"/>
                <w:szCs w:val="24"/>
                <w:highlight w:val="none"/>
              </w:rPr>
              <w:t>管理</w:t>
            </w:r>
            <w:bookmarkEnd w:id="119"/>
            <w:bookmarkEnd w:id="120"/>
            <w:bookmarkEnd w:id="121"/>
            <w:bookmarkEnd w:id="122"/>
            <w:bookmarkEnd w:id="123"/>
            <w:bookmarkEnd w:id="124"/>
          </w:p>
          <w:p>
            <w:pPr>
              <w:widowControl/>
              <w:spacing w:line="360" w:lineRule="auto"/>
              <w:jc w:val="center"/>
              <w:outlineLvl w:val="1"/>
              <w:rPr>
                <w:rFonts w:hint="eastAsia" w:ascii="宋体" w:hAnsi="宋体" w:eastAsia="宋体" w:cs="宋体"/>
                <w:color w:val="auto"/>
                <w:sz w:val="24"/>
                <w:szCs w:val="24"/>
                <w:highlight w:val="none"/>
              </w:rPr>
            </w:pPr>
            <w:bookmarkStart w:id="125" w:name="_Toc21405"/>
            <w:bookmarkStart w:id="126" w:name="_Toc14809"/>
            <w:bookmarkStart w:id="127" w:name="_Toc15990"/>
            <w:bookmarkStart w:id="128" w:name="_Toc8362"/>
            <w:bookmarkStart w:id="129" w:name="_Toc12542"/>
            <w:bookmarkStart w:id="130" w:name="_Toc27175"/>
            <w:r>
              <w:rPr>
                <w:rFonts w:hint="eastAsia" w:ascii="宋体" w:hAnsi="宋体" w:eastAsia="宋体" w:cs="宋体"/>
                <w:color w:val="auto"/>
                <w:sz w:val="24"/>
                <w:szCs w:val="24"/>
                <w:highlight w:val="none"/>
              </w:rPr>
              <w:t>人员</w:t>
            </w:r>
            <w:bookmarkEnd w:id="125"/>
            <w:bookmarkEnd w:id="126"/>
            <w:bookmarkEnd w:id="127"/>
            <w:bookmarkEnd w:id="128"/>
            <w:bookmarkEnd w:id="129"/>
            <w:bookmarkEnd w:id="130"/>
          </w:p>
        </w:tc>
        <w:tc>
          <w:tcPr>
            <w:tcW w:w="1327" w:type="dxa"/>
            <w:noWrap w:val="0"/>
            <w:vAlign w:val="center"/>
          </w:tcPr>
          <w:p>
            <w:pPr>
              <w:widowControl/>
              <w:spacing w:line="360" w:lineRule="auto"/>
              <w:jc w:val="both"/>
              <w:outlineLvl w:val="1"/>
              <w:rPr>
                <w:rFonts w:hint="eastAsia" w:ascii="宋体" w:hAnsi="宋体" w:eastAsia="宋体" w:cs="宋体"/>
                <w:color w:val="auto"/>
                <w:sz w:val="24"/>
                <w:szCs w:val="24"/>
                <w:highlight w:val="none"/>
                <w:lang w:eastAsia="zh-CN"/>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7" w:type="dxa"/>
            <w:noWrap w:val="0"/>
            <w:vAlign w:val="center"/>
          </w:tcPr>
          <w:p>
            <w:pPr>
              <w:widowControl/>
              <w:spacing w:line="360" w:lineRule="auto"/>
              <w:jc w:val="both"/>
              <w:outlineLvl w:val="1"/>
              <w:rPr>
                <w:rFonts w:hint="eastAsia" w:ascii="宋体" w:hAnsi="宋体" w:eastAsia="宋体" w:cs="宋体"/>
                <w:color w:val="auto"/>
                <w:sz w:val="24"/>
                <w:szCs w:val="24"/>
                <w:highlight w:val="none"/>
                <w:lang w:eastAsia="zh-CN"/>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bookmarkStart w:id="131" w:name="_Toc2648"/>
            <w:bookmarkStart w:id="132" w:name="_Toc9240"/>
            <w:bookmarkStart w:id="133" w:name="_Toc17974"/>
            <w:bookmarkStart w:id="134" w:name="_Toc17109"/>
            <w:bookmarkStart w:id="135" w:name="_Toc30017"/>
            <w:bookmarkStart w:id="136" w:name="_Toc17225"/>
            <w:r>
              <w:rPr>
                <w:rFonts w:hint="eastAsia" w:ascii="宋体" w:hAnsi="宋体" w:eastAsia="宋体" w:cs="宋体"/>
                <w:color w:val="auto"/>
                <w:sz w:val="24"/>
                <w:szCs w:val="24"/>
                <w:highlight w:val="none"/>
              </w:rPr>
              <w:t>技术</w:t>
            </w:r>
            <w:bookmarkEnd w:id="131"/>
            <w:bookmarkEnd w:id="132"/>
            <w:bookmarkEnd w:id="133"/>
            <w:bookmarkEnd w:id="134"/>
            <w:bookmarkEnd w:id="135"/>
            <w:bookmarkEnd w:id="136"/>
          </w:p>
          <w:p>
            <w:pPr>
              <w:widowControl/>
              <w:spacing w:line="360" w:lineRule="auto"/>
              <w:jc w:val="center"/>
              <w:outlineLvl w:val="1"/>
              <w:rPr>
                <w:rFonts w:hint="eastAsia" w:ascii="宋体" w:hAnsi="宋体" w:eastAsia="宋体" w:cs="宋体"/>
                <w:color w:val="auto"/>
                <w:sz w:val="24"/>
                <w:szCs w:val="24"/>
                <w:highlight w:val="none"/>
              </w:rPr>
            </w:pPr>
            <w:bookmarkStart w:id="137" w:name="_Toc18372"/>
            <w:bookmarkStart w:id="138" w:name="_Toc22239"/>
            <w:bookmarkStart w:id="139" w:name="_Toc27001"/>
            <w:bookmarkStart w:id="140" w:name="_Toc2130"/>
            <w:bookmarkStart w:id="141" w:name="_Toc7669"/>
            <w:bookmarkStart w:id="142" w:name="_Toc13582"/>
            <w:r>
              <w:rPr>
                <w:rFonts w:hint="eastAsia" w:ascii="宋体" w:hAnsi="宋体" w:eastAsia="宋体" w:cs="宋体"/>
                <w:color w:val="auto"/>
                <w:sz w:val="24"/>
                <w:szCs w:val="24"/>
                <w:highlight w:val="none"/>
              </w:rPr>
              <w:t>人员</w:t>
            </w:r>
            <w:bookmarkEnd w:id="137"/>
            <w:bookmarkEnd w:id="138"/>
            <w:bookmarkEnd w:id="139"/>
            <w:bookmarkEnd w:id="140"/>
            <w:bookmarkEnd w:id="141"/>
            <w:bookmarkEnd w:id="142"/>
          </w:p>
        </w:tc>
        <w:tc>
          <w:tcPr>
            <w:tcW w:w="1327" w:type="dxa"/>
            <w:noWrap w:val="0"/>
            <w:vAlign w:val="center"/>
          </w:tcPr>
          <w:p>
            <w:pPr>
              <w:widowControl/>
              <w:spacing w:line="360" w:lineRule="auto"/>
              <w:jc w:val="left"/>
              <w:outlineLvl w:val="1"/>
              <w:rPr>
                <w:rFonts w:hint="eastAsia" w:ascii="宋体" w:hAnsi="宋体" w:eastAsia="宋体" w:cs="宋体"/>
                <w:color w:val="auto"/>
                <w:sz w:val="24"/>
                <w:szCs w:val="24"/>
                <w:highlight w:val="none"/>
                <w:lang w:eastAsia="zh-CN"/>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7" w:type="dxa"/>
            <w:noWrap w:val="0"/>
            <w:vAlign w:val="center"/>
          </w:tcPr>
          <w:p>
            <w:pPr>
              <w:widowControl/>
              <w:spacing w:line="360" w:lineRule="auto"/>
              <w:jc w:val="left"/>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7" w:type="dxa"/>
            <w:noWrap w:val="0"/>
            <w:vAlign w:val="center"/>
          </w:tcPr>
          <w:p>
            <w:pPr>
              <w:widowControl/>
              <w:spacing w:line="360" w:lineRule="auto"/>
              <w:jc w:val="left"/>
              <w:outlineLvl w:val="1"/>
              <w:rPr>
                <w:rFonts w:hint="default" w:ascii="宋体" w:hAnsi="宋体" w:eastAsia="宋体" w:cs="宋体"/>
                <w:color w:val="auto"/>
                <w:sz w:val="24"/>
                <w:szCs w:val="24"/>
                <w:highlight w:val="none"/>
                <w:lang w:val="en-US" w:eastAsia="zh-CN"/>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7" w:type="dxa"/>
            <w:noWrap w:val="0"/>
            <w:vAlign w:val="center"/>
          </w:tcPr>
          <w:p>
            <w:pPr>
              <w:widowControl/>
              <w:spacing w:line="360" w:lineRule="auto"/>
              <w:jc w:val="left"/>
              <w:outlineLvl w:val="1"/>
              <w:rPr>
                <w:rFonts w:hint="eastAsia" w:ascii="Arial" w:hAnsi="Arial" w:cs="Arial"/>
                <w:color w:val="auto"/>
                <w:sz w:val="24"/>
                <w:szCs w:val="24"/>
                <w:highlight w:val="none"/>
                <w:lang w:val="en-US" w:eastAsia="zh-CN"/>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7" w:type="dxa"/>
            <w:noWrap w:val="0"/>
            <w:vAlign w:val="center"/>
          </w:tcPr>
          <w:p>
            <w:pPr>
              <w:widowControl/>
              <w:spacing w:line="360" w:lineRule="auto"/>
              <w:jc w:val="left"/>
              <w:outlineLvl w:val="1"/>
              <w:rPr>
                <w:rFonts w:hint="eastAsia" w:ascii="Arial" w:hAnsi="Arial" w:cs="Arial"/>
                <w:color w:val="auto"/>
                <w:sz w:val="24"/>
                <w:szCs w:val="24"/>
                <w:highlight w:val="none"/>
                <w:lang w:val="en-US" w:eastAsia="zh-CN"/>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restart"/>
            <w:noWrap w:val="0"/>
            <w:vAlign w:val="center"/>
          </w:tcPr>
          <w:p>
            <w:pPr>
              <w:widowControl/>
              <w:spacing w:line="360" w:lineRule="auto"/>
              <w:jc w:val="center"/>
              <w:outlineLvl w:val="1"/>
              <w:rPr>
                <w:rFonts w:hint="eastAsia" w:ascii="宋体" w:hAnsi="宋体" w:eastAsia="宋体" w:cs="宋体"/>
                <w:color w:val="auto"/>
                <w:sz w:val="24"/>
                <w:szCs w:val="24"/>
                <w:highlight w:val="none"/>
              </w:rPr>
            </w:pPr>
            <w:bookmarkStart w:id="143" w:name="_Toc22993"/>
            <w:bookmarkStart w:id="144" w:name="_Toc30805"/>
            <w:bookmarkStart w:id="145" w:name="_Toc20502"/>
            <w:bookmarkStart w:id="146" w:name="_Toc22962"/>
            <w:bookmarkStart w:id="147" w:name="_Toc29734"/>
            <w:bookmarkStart w:id="148" w:name="_Toc11816"/>
            <w:r>
              <w:rPr>
                <w:rFonts w:hint="eastAsia" w:ascii="宋体" w:hAnsi="宋体" w:eastAsia="宋体" w:cs="宋体"/>
                <w:color w:val="auto"/>
                <w:sz w:val="24"/>
                <w:szCs w:val="24"/>
                <w:highlight w:val="none"/>
              </w:rPr>
              <w:t>售后服务人员</w:t>
            </w:r>
            <w:bookmarkEnd w:id="143"/>
            <w:bookmarkEnd w:id="144"/>
            <w:bookmarkEnd w:id="145"/>
            <w:bookmarkEnd w:id="146"/>
            <w:bookmarkEnd w:id="147"/>
            <w:bookmarkEnd w:id="148"/>
          </w:p>
        </w:tc>
        <w:tc>
          <w:tcPr>
            <w:tcW w:w="1327"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1327"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6" w:type="dxa"/>
            <w:vMerge w:val="continue"/>
            <w:tcBorders>
              <w:bottom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1327" w:type="dxa"/>
            <w:tcBorders>
              <w:bottom w:val="single" w:color="auto" w:sz="4" w:space="0"/>
            </w:tcBorders>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00"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c>
          <w:tcPr>
            <w:tcW w:w="949" w:type="dxa"/>
            <w:noWrap w:val="0"/>
            <w:vAlign w:val="center"/>
          </w:tcPr>
          <w:p>
            <w:pPr>
              <w:widowControl/>
              <w:spacing w:line="360" w:lineRule="auto"/>
              <w:ind w:firstLine="470" w:firstLineChars="196"/>
              <w:jc w:val="center"/>
              <w:outlineLvl w:val="1"/>
              <w:rPr>
                <w:rFonts w:hint="eastAsia" w:ascii="宋体" w:hAnsi="宋体" w:eastAsia="宋体" w:cs="宋体"/>
                <w:color w:val="auto"/>
                <w:sz w:val="24"/>
                <w:szCs w:val="24"/>
                <w:highlight w:val="none"/>
              </w:rPr>
            </w:pPr>
          </w:p>
        </w:tc>
      </w:tr>
    </w:tbl>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（单位盖章）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（签字或者加盖个人名章）</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年      月      日</w:t>
      </w:r>
    </w:p>
    <w:p>
      <w:pPr>
        <w:pStyle w:val="9"/>
        <w:rPr>
          <w:rFonts w:hint="eastAsia" w:ascii="宋体" w:hAnsi="宋体" w:cs="宋体"/>
          <w:color w:val="auto"/>
          <w:sz w:val="24"/>
          <w:szCs w:val="24"/>
          <w:highlight w:val="none"/>
          <w:lang w:val="en-US" w:eastAsia="zh-CN"/>
        </w:rPr>
      </w:pPr>
    </w:p>
    <w:p>
      <w:pPr>
        <w:rPr>
          <w:rFonts w:hint="eastAsia" w:ascii="宋体" w:hAnsi="宋体" w:cs="宋体"/>
          <w:color w:val="auto"/>
          <w:sz w:val="24"/>
          <w:szCs w:val="24"/>
          <w:highlight w:val="none"/>
          <w:lang w:val="en-US" w:eastAsia="zh-CN"/>
        </w:rPr>
      </w:pPr>
    </w:p>
    <w:p>
      <w:pPr>
        <w:pStyle w:val="9"/>
        <w:rPr>
          <w:rFonts w:hint="eastAsia" w:ascii="宋体" w:hAnsi="宋体" w:cs="宋体"/>
          <w:color w:val="auto"/>
          <w:sz w:val="24"/>
          <w:szCs w:val="24"/>
          <w:highlight w:val="none"/>
          <w:lang w:val="en-US" w:eastAsia="zh-CN"/>
        </w:rPr>
      </w:pPr>
    </w:p>
    <w:p>
      <w:pPr>
        <w:rPr>
          <w:rFonts w:hint="eastAsia"/>
          <w:color w:val="auto"/>
          <w:highlight w:val="none"/>
          <w:lang w:val="en-US"/>
        </w:rPr>
      </w:pPr>
    </w:p>
    <w:p>
      <w:pPr>
        <w:rPr>
          <w:rFonts w:hint="eastAsia"/>
          <w:color w:val="auto"/>
          <w:highlight w:val="none"/>
          <w:lang w:eastAsia="zh-CN"/>
        </w:rPr>
      </w:pPr>
      <w:bookmarkStart w:id="149" w:name="_Toc13545"/>
      <w:bookmarkStart w:id="150" w:name="_Toc30619"/>
      <w:bookmarkStart w:id="151" w:name="_Toc31614"/>
      <w:bookmarkStart w:id="152" w:name="_Toc32302"/>
      <w:r>
        <w:rPr>
          <w:rFonts w:hint="eastAsia"/>
          <w:color w:val="auto"/>
          <w:highlight w:val="none"/>
          <w:lang w:eastAsia="zh-CN"/>
        </w:rPr>
        <w:br w:type="page"/>
      </w:r>
    </w:p>
    <w:p>
      <w:pPr>
        <w:pStyle w:val="5"/>
        <w:bidi w:val="0"/>
        <w:rPr>
          <w:rFonts w:hint="eastAsia"/>
          <w:color w:val="auto"/>
          <w:highlight w:val="none"/>
          <w:lang w:eastAsia="zh-CN"/>
        </w:rPr>
      </w:pPr>
      <w:r>
        <w:rPr>
          <w:rFonts w:hint="eastAsia"/>
          <w:color w:val="auto"/>
          <w:highlight w:val="none"/>
          <w:lang w:eastAsia="zh-CN"/>
        </w:rPr>
        <w:t>八、谈判文件要求的其他承诺、资料及证明材料或供应商认为必要的其他补充材料（若涉及）</w:t>
      </w:r>
      <w:bookmarkEnd w:id="149"/>
      <w:bookmarkEnd w:id="150"/>
      <w:bookmarkEnd w:id="151"/>
      <w:bookmarkEnd w:id="152"/>
      <w:r>
        <w:rPr>
          <w:rFonts w:hint="eastAsia"/>
          <w:color w:val="auto"/>
          <w:highlight w:val="none"/>
          <w:lang w:eastAsia="zh-CN"/>
        </w:rPr>
        <w:t xml:space="preserve"> </w:t>
      </w:r>
    </w:p>
    <w:p>
      <w:pPr>
        <w:spacing w:beforeLines="0" w:afterLines="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（供应商根据谈判文件及本项目情况自拟格式）</w:t>
      </w:r>
    </w:p>
    <w:p>
      <w:pPr>
        <w:spacing w:beforeLines="0" w:afterLines="0"/>
        <w:jc w:val="left"/>
        <w:rPr>
          <w:rFonts w:hint="eastAsia" w:ascii="宋体" w:hAnsi="宋体" w:eastAsia="宋体" w:cs="宋体"/>
          <w:b w:val="0"/>
          <w:bCs w:val="0"/>
          <w:color w:val="auto"/>
          <w:sz w:val="24"/>
          <w:szCs w:val="24"/>
          <w:highlight w:val="none"/>
          <w:lang w:eastAsia="zh-CN"/>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rPr>
      </w:pPr>
    </w:p>
    <w:p>
      <w:pPr>
        <w:spacing w:beforeLines="0" w:afterLine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pPr>
        <w:spacing w:beforeLines="0" w:afterLines="0"/>
        <w:jc w:val="left"/>
        <w:rPr>
          <w:rFonts w:hint="eastAsia" w:ascii="仿宋" w:hAnsi="仿宋" w:eastAsia="仿宋" w:cs="仿宋"/>
          <w:sz w:val="24"/>
        </w:rPr>
      </w:pPr>
      <w:r>
        <w:rPr>
          <w:rFonts w:hint="eastAsia" w:ascii="宋体" w:hAnsi="宋体" w:eastAsia="宋体" w:cs="宋体"/>
          <w:color w:val="auto"/>
          <w:sz w:val="24"/>
          <w:szCs w:val="24"/>
          <w:highlight w:val="none"/>
        </w:rPr>
        <w:t>谈判文件中要求提供的其它文件、承诺或资料格式未作要求的供应商可自行拟定。</w:t>
      </w:r>
    </w:p>
    <w:p>
      <w:pPr>
        <w:pStyle w:val="9"/>
        <w:rPr>
          <w:rFonts w:hint="eastAsia" w:ascii="仿宋" w:hAnsi="仿宋" w:eastAsia="仿宋"/>
        </w:rPr>
      </w:pPr>
    </w:p>
    <w:p>
      <w:pPr>
        <w:jc w:val="center"/>
        <w:rPr>
          <w:rFonts w:hint="eastAsia" w:ascii="仿宋" w:hAnsi="仿宋" w:eastAsia="仿宋" w:cs="仿宋"/>
          <w:b/>
          <w:bCs/>
          <w:sz w:val="32"/>
          <w:szCs w:val="32"/>
        </w:rPr>
      </w:pPr>
      <w:r>
        <w:rPr>
          <w:rFonts w:hint="eastAsia" w:ascii="仿宋" w:hAnsi="仿宋" w:eastAsia="仿宋"/>
        </w:rPr>
        <w:br w:type="page"/>
      </w:r>
    </w:p>
    <w:p>
      <w:pPr>
        <w:pStyle w:val="4"/>
        <w:bidi w:val="0"/>
        <w:rPr>
          <w:rFonts w:hint="eastAsia"/>
          <w:lang w:val="en-US" w:eastAsia="zh-CN"/>
        </w:rPr>
      </w:pPr>
      <w:r>
        <w:rPr>
          <w:rFonts w:hint="eastAsia"/>
          <w:lang w:val="en-US" w:eastAsia="zh-CN"/>
        </w:rPr>
        <w:t>第七章 评审方法</w:t>
      </w:r>
      <w:bookmarkEnd w:id="84"/>
      <w:bookmarkEnd w:id="85"/>
    </w:p>
    <w:p>
      <w:pPr>
        <w:ind w:firstLine="480" w:firstLineChars="200"/>
        <w:jc w:val="left"/>
        <w:rPr>
          <w:rFonts w:ascii="宋体" w:hAnsi="宋体" w:cs="宋体"/>
          <w:sz w:val="24"/>
          <w:szCs w:val="24"/>
        </w:rPr>
      </w:pPr>
      <w:r>
        <w:rPr>
          <w:rFonts w:hint="eastAsia" w:ascii="宋体" w:hAnsi="宋体" w:cs="宋体"/>
          <w:sz w:val="24"/>
          <w:szCs w:val="24"/>
        </w:rPr>
        <w:t>1.总则</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1.1 参照《中华人民共和国政府采购法》、《中华人民共和国政府采购法实施条例》、《政府采购非招标采购方式管理办法》等法律制度，结合采购项目特点制定本谈判办法。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1.2 谈判工作由采购代理机构负责组织，具体谈判由采购代理机构依法组建的谈判小组负责。谈判小组由采购人代表和有关技术、经济、法律等方面的专家组成。</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1.3 谈判工作应遵循公平、公正、科学及择优的原则，并以相同的谈判程序和标准对待所有的供应商。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1.4 谈判小组按照谈判文件规定的谈判方法和标准进行谈判，并独立履行下列职责：</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（一）熟悉和理解谈判文件，确定谈判文件内容是否违反国家有关强制性规定或者谈判文件存在歧义、重大缺陷；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（二）审查供应商响应文件是否满足谈判文件要求，并作出公正评价；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（三）根据需要要求供应商对谈判文件有关事项作出澄清、说明或者纠正；</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（四）推荐成交供应商，或者受采购人委托确定成交供应商；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（五）起草评审报告并进行签署；</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（六）向采购人、财政部门或者其他监督部门报告非法干预评审工作的行为；</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（七）法律、法规和规章规定的其他职责。</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1.5 （实质性要求）谈判过程独立、保密。供应商非法干预谈判过程的，其响应文件作为无效处理。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1.6 谈判小组评价响应文件，除谈判小组要求其澄清、说明或者纠正而提供的资料外，仅依据响应文件本身的内容，不寻求供应商提供其他外部证据。</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2.评审程序</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 熟悉和理解谈判文件和停止评审。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2.1.1 谈判小组正式评审前，应当对谈判文件进行熟悉和理解，内容主要包括谈判文件中供应商资格条件要求、采购项目技术、服务和商务要求、评审方法和标准、政府采购政策要求以及采购合同主要条款等。</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2.1.2 本谈判文件有下列情形之一的，谈判小组应当停止评审：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（1）谈判文件的规定存在歧义、重大缺陷的；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（2）谈判文件明显以不合理条件对供应商实行差别待遇或者歧视待遇的；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（3）采购项目属于国家规定的优先、强制采购范围，但是谈判文件未依法体现优先、强制采购相关规定的；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（4）谈判文件将供应商的资格条件列为评分因素的；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（5）谈判文件载明的成交原则不合法的；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（6）谈判文件有违反国家其他有关强制性规定的情形。</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2.1.4 出现本条2.1.2 规定应当停止评审情形的，谈判小组应当向采购人书面说明情况。除本条规定的情形外，谈判小组不得以任何方式和理由停止评审。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2.2 资格性审查。</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本项目需要谈判小组进行资格性检查。</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2.2.1 谈判小组应依据法律法规和谈判文件的规定，对响应文件是否按照规定要求提供资格性证明材料、是否属于禁止参加谈判的供应商等进行审查，以确定供应商是否具备谈判资格。</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2.2.2 资格性审查结束后，谈判小组应当出具资格性审查报告，没有通过资格审查的供应商，谈判小组应当在资格审查报告中说明原因。</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2.2.3 谈判小组应依据谈判文件规定的所有实质性要求，对符合资格的响应文件进行有效性、完整性和响应程度审查，以确定参加谈判的供应商名单。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2.2.4 采购代理机构宣布未通过资格性审查的供应商名单时，应当告知供应商未通过审查的原因。</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2.3 通过资格性审查的供应商不足3 家的，终止本次采购活动，并发布终止采购活动公告。</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 谈判</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2.4.1 谈判小组所有成员集中与单一供应商分别进行一轮或多轮谈判，并给予所有参加谈判的供应商平等的谈判机会。谈判顺序以现场抽签的方式确定。谈判过程中，谈判小组可以根据谈判情况调整谈判轮次。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2.4.2 每轮谈判开始前，谈判小组应根据谈判文件的规定，并结合各供应商的响应文件拟定谈判内容。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2.4.3 在谈判过程中，谈判小组可以根据谈判文件和谈判情况实质性变动谈判文件的技术、服务要求以及合同草案条款，但不得变动谈判文件中的其他内容。实质性变动的内容，须经采购人代表书面确认。</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2.4.4 对谈判文件作出的实质性变动是谈判文件的有效组成部分，谈判小组应当及时以书面形式同时通知所有参加谈判的供应商。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2.4.5 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2.4.6 谈判过程中，谈判的任何一方不得透露与谈判有关的其他供应商的技术资料、价格和其他信息。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2.4.7 谈判过程中，谈判小组发现或者知晓供应商存在违法、违纪行为的，谈判小组应当将该供应商淘汰，不允许其提交最后报价。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2.4.8 谈判完成后，谈判小组应出具谈判情况记录表，谈判情况记录表需包含谈判内容、谈判意见、实质性变动内容等。</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2.5 最后报价。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2.5.1 谈判文件能够详细列明采购标的的技术、服务要求的，谈判结束后，谈判小组应当要求所有实质性响应的供应商在规定时间内提交最后报价，提交最后报价的供应商不得少于3 家。或谈判文件不能详细列明采购标的的技术、服务要求，需经谈判由供应商提供最终设计方案或解决方案的，谈判结束后，谈判小组应当按照少数服从多数的原则投票推荐3 家以上供应商的设计方案或者解决方案，并要求其在规定时间内提交最后报价。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2.5.2 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2.5.3 供应商最后报价应当由法定代表人/主要负责人/本人或其授权代表签字确认或加盖公章。最后报价是供应商响应文件的有效组成部分。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2.5.4 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2.6 谈判小组复核。供应商最后报价结束后，谈判小组应当进行评审复核，对拟推荐为成交候选供应商的、报价最低的、供应商资格审查未通过的、供应商响应文件作无效处理的重点复核。</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2.7 推荐成交候选供应商。谈判小组复核后，应当按照供应商的报价由低到高顺序推荐3 家以上成交候选供应商，并编写谈判报告。供应商报价相同的，成交候选供应商并列，由采购人自主采取公平择优的方式选择成交供应商。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2.8 采购代理机构现场复核评审结果。</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2.8.1 推荐成交候选供应商后，谈判小组拟出具谈判报告前，采购代理机构应当组织2 名以上的本单位工作人员，在采购现场监督人员的监督之下，依据有关的法律制度和谈判文件对评审结果进行复核，出具复核报告，存在资格性审查认定错误的，采购代理机构应当根据情况书面建议谈判小组现场修改评审结果。由谈判小组自主决定是否采纳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人/采购代理机构书面建议未被谈判小组采纳的，应当接照规定程序要求继续组织实施采购活动，不得擅自中止采购活动。采购代理机构认为谈判小组评审结果不合法的，应当书面报告采购项目同级财政部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采购人/采购代理机构复核过程中，谈判小组成员不得离开评审现场。</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2.8.2 有下列情形之一的，不得现场修改评审结果：</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（1）谈判小组已经出具谈判报告并且离开评审现场的；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（2）采购代理机构现场复核时，复核工作人员数量不足的；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（3）采购代理机构现场复核时，没有采购监督人员现场监督的；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（4）采购代理机构现场复核内容超出规定范围的；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（5）采购代理机构未提供书面建议的。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2.9 编写谈判报告。谈判小组推荐成交候选供应商后，应向采购代理机构出具谈判报告。谈判报告应当包括以下主要内容：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（1）邀请供应商参加采购活动的具体方式和相关情况，以及参加采购活动的供应商名单；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（2）评审日期和地点，谈判小组、询价小组成员名单；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（3）评审情况记录和说明，包括对供应商的资格审查情况、供应商响应文件审查情况、谈判情况、报价情况等；（4）推荐的成交候选人的名单及理由。</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2.10 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2.11 供应商澄清、说明</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2.11.1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2.11.2 谈判小组要求供应商澄清、说明或者更正响应文件应当以书面形式作出。供应商的澄清、说明或者更正应当由法定代表人/主要负责人/本人或其授权代表签字或者加盖公章。</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2.12 终止谈判采购活动。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出现下列情形之一的，采购人或者采购代理机构应当终止竞争性谈判采购活动，发布项目终止公告并说明原因，重新开展采购活动：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（1）因情况变化，不再符合规定的竞争性谈判采购方式适用情形的；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（2）出现影响采购公正的违法、违规行为的；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（3）在采购过程中符合要求的供应商或者报价未超过采购预算的供应商不足3 家的。</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3．谈判纪律及注意事项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3.1 谈判小组内部讨论的情况和意见必须保密，任何人不得以任何形式透露给供应商或与供应商有关的单位或个人。</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3.2 在谈判过程中，供应商不得以任何形式对谈判小组成员进行旨在影响谈判结果的私下接触，否则将取消其参与谈判的资格。</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3.3 对各供应商的商业秘密，谈判小组成员应予以保密，不得泄露给其他供应商。3.4 谈判小组独立评判，推荐成交候选人，并写出书面报告。</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3.5 谈判小组可根据需要对供应商进行实地考察。</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4.确定成交供应商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4.1 采购代理机构应当在评审结束后2 个工作日内将评审报告送采购人确认；</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4.2 采购人应当在收到评审报告后5 个工作日内，从评审报告提出的成交候选人中，根据质量和服务均能满足谈判文件实质性响应要求且最后报价最低的原则确定成交供应商。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5.成交通知书</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5.1 成交通知书为签订采购合同的依据之一，是合同的有效组成部分。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5.2 采购人按符合采购需求的合格供应商确定成交供应商，确定成交供应商后2 个工作日内，采购代理机构将以书面形式通知参加本次采购项目的供应商成交结果，由采购代理机构按照相关法律法规向成交供应商发出成交通知书。</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5.3 成交通知书将作为签订合同的依据。成交通知书对采购人和成交供应商均具有法律效力。成交通知书发出后，采购人改变成交结果或成交供应商无正当理由放弃成交项目的，应当依法承担相关责任。</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5.4 采购人和采购代理机构不对成交或未成交原因作出解释，也不退还响应文件。</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6.谈判小组在采购活动中承担以下义务：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（一）遵守评审工作纪律；</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（二）按照客观、公正、审慎的原则，根据谈判文件规定的评审程序、评审方法和评审标准进行独立评审；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（三）不得泄露评审文件、评审情况和在评审过程中获悉的商业秘密；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（四）及时向财政部门报告评审过程中发现的采购人、采购代理机构向评审专家做倾向性、误导性的解释或者说明，以及供应商行贿、提供虚假材料或者串通等违法行为；</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（五）发现谈判文件内容违反国家有关强制性规定或者谈判文件存在歧义、重大缺陷导致评审工作无法进行时，停止评审并向采购人或者采购代理机构书面说明情况；</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（六）及时向财政、监察等部门举报在评审过程中受到非法干预的情况；</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（七）配合答复处理供应商的询问、质疑和投诉等事项；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（八）法律、法规和规章规定的其他义务。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评审专家在采购活动中应当遵守以下工作纪律：（一）不得参加与自己有《中华人民共和国政府采购法实施条例》第九条规定的利害关系的采购项目的评标活动。发现参加了与自己有利害关系的评审活动，须主动提出回避，退出评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（二）评审前，应当将通讯工具或者相关电子设备交由采购代理机构统一保管；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（三）评审过程中，不得与外界联系，因发生不可预见情况，确实需要与外界联系的，应当在监督人员监督之下办理；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（五）在评审过程中和评审结束后，不得记录、复制或带走任何评审资料，不得向外界透露评审内容；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（六）评审现场服从采购代理机构工作人员的管理，接受现场监督人员的合法监督；</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（七）遵守有关廉洁自律规定，不得私下接触供应商，不得收受供应商及有关业务单位和个人的财物或好处，不得接受采购代理机构的请托。</w:t>
      </w: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spacing w:line="360" w:lineRule="auto"/>
        <w:jc w:val="left"/>
        <w:rPr>
          <w:rFonts w:ascii="宋体" w:hAnsi="宋体" w:cs="宋体"/>
          <w:sz w:val="24"/>
          <w:szCs w:val="24"/>
        </w:rPr>
      </w:pPr>
    </w:p>
    <w:p>
      <w:pPr>
        <w:jc w:val="center"/>
        <w:rPr>
          <w:rFonts w:ascii="宋体" w:hAnsi="宋体" w:cs="宋体"/>
          <w:sz w:val="24"/>
          <w:szCs w:val="24"/>
        </w:rPr>
      </w:pPr>
    </w:p>
    <w:p>
      <w:pPr>
        <w:pStyle w:val="9"/>
      </w:pPr>
      <w:bookmarkStart w:id="153" w:name="_Toc6987"/>
    </w:p>
    <w:p>
      <w:pPr>
        <w:pStyle w:val="4"/>
      </w:pPr>
      <w:bookmarkStart w:id="154" w:name="_Toc1205"/>
      <w:r>
        <w:rPr>
          <w:rFonts w:hint="eastAsia"/>
        </w:rPr>
        <w:t xml:space="preserve">第八章 </w:t>
      </w:r>
      <w:bookmarkEnd w:id="153"/>
      <w:r>
        <w:rPr>
          <w:rFonts w:hint="eastAsia"/>
        </w:rPr>
        <w:t>合同主要条款(仅供参考)</w:t>
      </w:r>
      <w:bookmarkEnd w:id="154"/>
    </w:p>
    <w:p>
      <w:pPr>
        <w:pStyle w:val="4"/>
        <w:jc w:val="left"/>
      </w:pPr>
      <w:bookmarkStart w:id="155" w:name="_Toc4024"/>
      <w:r>
        <w:rPr>
          <w:rFonts w:hint="eastAsia" w:ascii="宋体" w:hAnsi="宋体" w:cs="宋体"/>
          <w:sz w:val="24"/>
        </w:rPr>
        <w:t>（注：本章合同为格式文本，与谈判文件其他章节有冲突的，以其他章节规定为准。成交供应商可与采购人协商调整，完全或部分使用本格式文本，也可根据情况另行拟订采购合同。）</w:t>
      </w:r>
      <w:bookmarkEnd w:id="155"/>
    </w:p>
    <w:p>
      <w:pPr>
        <w:spacing w:before="149" w:line="465" w:lineRule="exact"/>
        <w:ind w:firstLine="489"/>
        <w:rPr>
          <w:rFonts w:ascii="宋体" w:hAnsi="宋体" w:cs="宋体"/>
          <w:sz w:val="24"/>
          <w:szCs w:val="24"/>
        </w:rPr>
      </w:pPr>
      <w:r>
        <w:rPr>
          <w:rFonts w:ascii="宋体" w:hAnsi="宋体" w:cs="宋体"/>
          <w:spacing w:val="-22"/>
          <w:w w:val="94"/>
          <w:position w:val="16"/>
          <w:sz w:val="24"/>
          <w:szCs w:val="24"/>
        </w:rPr>
        <w:t>合同编号：</w:t>
      </w:r>
      <w:r>
        <w:rPr>
          <w:rFonts w:ascii="宋体" w:hAnsi="宋体" w:cs="宋体"/>
          <w:position w:val="16"/>
          <w:sz w:val="24"/>
          <w:szCs w:val="24"/>
          <w:u w:val="single"/>
        </w:rPr>
        <w:t xml:space="preserve">            </w:t>
      </w:r>
    </w:p>
    <w:p>
      <w:pPr>
        <w:spacing w:line="204" w:lineRule="auto"/>
        <w:ind w:firstLine="519"/>
        <w:rPr>
          <w:rFonts w:ascii="宋体" w:hAnsi="宋体" w:cs="宋体"/>
          <w:sz w:val="24"/>
          <w:szCs w:val="24"/>
        </w:rPr>
      </w:pPr>
      <w:r>
        <w:rPr>
          <w:rFonts w:ascii="宋体" w:hAnsi="宋体" w:cs="宋体"/>
          <w:spacing w:val="-19"/>
          <w:w w:val="82"/>
          <w:sz w:val="24"/>
          <w:szCs w:val="24"/>
        </w:rPr>
        <w:t>甲方：</w:t>
      </w:r>
      <w:r>
        <w:rPr>
          <w:rFonts w:ascii="宋体" w:hAnsi="宋体" w:cs="宋体"/>
          <w:sz w:val="24"/>
          <w:szCs w:val="24"/>
          <w:u w:val="single"/>
        </w:rPr>
        <w:t xml:space="preserve">              </w:t>
      </w:r>
    </w:p>
    <w:p>
      <w:pPr>
        <w:spacing w:before="202" w:line="184" w:lineRule="auto"/>
        <w:ind w:firstLine="512"/>
        <w:rPr>
          <w:rFonts w:ascii="宋体" w:hAnsi="宋体" w:cs="宋体"/>
          <w:sz w:val="24"/>
          <w:szCs w:val="24"/>
        </w:rPr>
      </w:pPr>
      <w:r>
        <w:rPr>
          <w:rFonts w:ascii="宋体" w:hAnsi="宋体" w:cs="宋体"/>
          <w:spacing w:val="-19"/>
          <w:w w:val="81"/>
          <w:sz w:val="24"/>
          <w:szCs w:val="24"/>
        </w:rPr>
        <w:t>乙方：</w:t>
      </w:r>
      <w:r>
        <w:rPr>
          <w:rFonts w:ascii="宋体" w:hAnsi="宋体" w:cs="宋体"/>
          <w:sz w:val="24"/>
          <w:szCs w:val="24"/>
          <w:u w:val="single"/>
        </w:rPr>
        <w:t xml:space="preserve">              </w:t>
      </w:r>
    </w:p>
    <w:p>
      <w:pPr>
        <w:spacing w:before="306" w:line="184" w:lineRule="auto"/>
        <w:ind w:firstLine="488"/>
        <w:rPr>
          <w:rFonts w:ascii="宋体" w:hAnsi="宋体" w:cs="宋体"/>
          <w:sz w:val="24"/>
          <w:szCs w:val="24"/>
        </w:rPr>
      </w:pPr>
      <w:r>
        <w:rPr>
          <w:rFonts w:ascii="宋体" w:hAnsi="宋体" w:cs="宋体"/>
          <w:spacing w:val="-22"/>
          <w:w w:val="94"/>
          <w:sz w:val="24"/>
          <w:szCs w:val="24"/>
        </w:rPr>
        <w:t>签订地点：</w:t>
      </w:r>
      <w:r>
        <w:rPr>
          <w:rFonts w:ascii="宋体" w:hAnsi="宋体" w:cs="宋体"/>
          <w:sz w:val="24"/>
          <w:szCs w:val="24"/>
          <w:u w:val="single"/>
        </w:rPr>
        <w:t xml:space="preserve">             </w:t>
      </w:r>
    </w:p>
    <w:p>
      <w:pPr>
        <w:spacing w:before="229" w:line="184" w:lineRule="auto"/>
        <w:ind w:firstLine="488"/>
        <w:rPr>
          <w:rFonts w:ascii="宋体" w:hAnsi="宋体" w:cs="宋体"/>
          <w:sz w:val="24"/>
          <w:szCs w:val="24"/>
        </w:rPr>
      </w:pPr>
      <w:r>
        <w:rPr>
          <w:rFonts w:ascii="宋体" w:hAnsi="宋体" w:cs="宋体"/>
          <w:spacing w:val="-23"/>
          <w:w w:val="99"/>
          <w:sz w:val="24"/>
          <w:szCs w:val="24"/>
        </w:rPr>
        <w:t>签订时间：</w:t>
      </w:r>
      <w:r>
        <w:rPr>
          <w:rFonts w:ascii="宋体" w:hAnsi="宋体" w:cs="宋体"/>
          <w:spacing w:val="14"/>
          <w:sz w:val="24"/>
          <w:szCs w:val="24"/>
          <w:u w:val="single"/>
        </w:rPr>
        <w:t xml:space="preserve">    </w:t>
      </w:r>
      <w:r>
        <w:rPr>
          <w:rFonts w:ascii="宋体" w:hAnsi="宋体" w:cs="宋体"/>
          <w:spacing w:val="-23"/>
          <w:w w:val="99"/>
          <w:sz w:val="24"/>
          <w:szCs w:val="24"/>
        </w:rPr>
        <w:t>年</w:t>
      </w:r>
      <w:r>
        <w:rPr>
          <w:rFonts w:ascii="宋体" w:hAnsi="宋体" w:cs="宋体"/>
          <w:spacing w:val="15"/>
          <w:sz w:val="24"/>
          <w:szCs w:val="24"/>
          <w:u w:val="single"/>
        </w:rPr>
        <w:t xml:space="preserve">    </w:t>
      </w:r>
      <w:r>
        <w:rPr>
          <w:rFonts w:ascii="宋体" w:hAnsi="宋体" w:cs="宋体"/>
          <w:spacing w:val="-23"/>
          <w:w w:val="99"/>
          <w:sz w:val="24"/>
          <w:szCs w:val="24"/>
        </w:rPr>
        <w:t>月</w:t>
      </w:r>
      <w:r>
        <w:rPr>
          <w:rFonts w:ascii="宋体" w:hAnsi="宋体" w:cs="宋体"/>
          <w:spacing w:val="24"/>
          <w:sz w:val="24"/>
          <w:szCs w:val="24"/>
          <w:u w:val="single"/>
        </w:rPr>
        <w:t xml:space="preserve">    </w:t>
      </w:r>
      <w:r>
        <w:rPr>
          <w:rFonts w:ascii="宋体" w:hAnsi="宋体" w:cs="宋体"/>
          <w:spacing w:val="-23"/>
          <w:w w:val="99"/>
          <w:sz w:val="24"/>
          <w:szCs w:val="24"/>
        </w:rPr>
        <w:t>日</w:t>
      </w:r>
    </w:p>
    <w:p>
      <w:pPr>
        <w:spacing w:before="228" w:line="468" w:lineRule="exact"/>
        <w:ind w:firstLine="488"/>
        <w:rPr>
          <w:rFonts w:ascii="宋体" w:hAnsi="宋体" w:cs="宋体"/>
          <w:sz w:val="24"/>
          <w:szCs w:val="24"/>
        </w:rPr>
      </w:pPr>
      <w:r>
        <w:rPr>
          <w:rFonts w:ascii="宋体" w:hAnsi="宋体" w:cs="宋体"/>
          <w:spacing w:val="4"/>
          <w:position w:val="16"/>
          <w:sz w:val="24"/>
          <w:szCs w:val="24"/>
        </w:rPr>
        <w:t>采购人（甲方</w:t>
      </w:r>
      <w:r>
        <w:rPr>
          <w:rFonts w:ascii="宋体" w:hAnsi="宋体" w:cs="宋体"/>
          <w:spacing w:val="-82"/>
          <w:position w:val="16"/>
          <w:sz w:val="24"/>
          <w:szCs w:val="24"/>
        </w:rPr>
        <w:t>）</w:t>
      </w:r>
      <w:r>
        <w:rPr>
          <w:rFonts w:ascii="宋体" w:hAnsi="宋体" w:cs="宋体"/>
          <w:spacing w:val="11"/>
          <w:position w:val="16"/>
          <w:sz w:val="24"/>
          <w:szCs w:val="24"/>
        </w:rPr>
        <w:t xml:space="preserve"> </w:t>
      </w:r>
      <w:r>
        <w:rPr>
          <w:rFonts w:ascii="宋体" w:hAnsi="宋体" w:cs="宋体"/>
          <w:spacing w:val="-82"/>
          <w:position w:val="16"/>
          <w:sz w:val="24"/>
          <w:szCs w:val="24"/>
        </w:rPr>
        <w:t>：</w:t>
      </w:r>
      <w:r>
        <w:rPr>
          <w:rFonts w:ascii="宋体" w:hAnsi="宋体" w:cs="宋体"/>
          <w:position w:val="16"/>
          <w:sz w:val="24"/>
          <w:szCs w:val="24"/>
          <w:u w:val="single"/>
        </w:rPr>
        <w:t xml:space="preserve">                               </w:t>
      </w:r>
    </w:p>
    <w:p>
      <w:pPr>
        <w:spacing w:line="204" w:lineRule="auto"/>
        <w:ind w:firstLine="488"/>
        <w:rPr>
          <w:rFonts w:ascii="宋体" w:hAnsi="宋体" w:cs="宋体"/>
          <w:sz w:val="24"/>
          <w:szCs w:val="24"/>
        </w:rPr>
      </w:pPr>
      <w:r>
        <w:rPr>
          <w:rFonts w:ascii="宋体" w:hAnsi="宋体" w:cs="宋体"/>
          <w:spacing w:val="4"/>
          <w:sz w:val="24"/>
          <w:szCs w:val="24"/>
        </w:rPr>
        <w:t>供应商（乙方</w:t>
      </w:r>
      <w:r>
        <w:rPr>
          <w:rFonts w:ascii="宋体" w:hAnsi="宋体" w:cs="宋体"/>
          <w:spacing w:val="-83"/>
          <w:sz w:val="24"/>
          <w:szCs w:val="24"/>
        </w:rPr>
        <w:t>）</w:t>
      </w:r>
      <w:r>
        <w:rPr>
          <w:rFonts w:ascii="宋体" w:hAnsi="宋体" w:cs="宋体"/>
          <w:spacing w:val="12"/>
          <w:sz w:val="24"/>
          <w:szCs w:val="24"/>
        </w:rPr>
        <w:t xml:space="preserve"> </w:t>
      </w:r>
      <w:r>
        <w:rPr>
          <w:rFonts w:ascii="宋体" w:hAnsi="宋体" w:cs="宋体"/>
          <w:spacing w:val="-83"/>
          <w:sz w:val="24"/>
          <w:szCs w:val="24"/>
        </w:rPr>
        <w:t>：</w:t>
      </w:r>
      <w:r>
        <w:rPr>
          <w:rFonts w:ascii="宋体" w:hAnsi="宋体" w:cs="宋体"/>
          <w:sz w:val="24"/>
          <w:szCs w:val="24"/>
          <w:u w:val="single"/>
        </w:rPr>
        <w:t xml:space="preserve">                               </w:t>
      </w:r>
    </w:p>
    <w:p>
      <w:pPr>
        <w:spacing w:before="202" w:line="325" w:lineRule="auto"/>
        <w:ind w:left="8" w:firstLine="481"/>
        <w:rPr>
          <w:rFonts w:ascii="宋体" w:hAnsi="宋体" w:cs="宋体"/>
          <w:sz w:val="24"/>
          <w:szCs w:val="24"/>
        </w:rPr>
      </w:pPr>
      <w:r>
        <w:rPr>
          <w:rFonts w:ascii="宋体" w:hAnsi="宋体" w:cs="宋体"/>
          <w:spacing w:val="-8"/>
          <w:sz w:val="24"/>
          <w:szCs w:val="24"/>
        </w:rPr>
        <w:t>依据《中华人民共和国民法典》</w:t>
      </w:r>
      <w:r>
        <w:rPr>
          <w:rFonts w:ascii="宋体" w:hAnsi="宋体" w:cs="宋体"/>
          <w:spacing w:val="45"/>
          <w:sz w:val="24"/>
          <w:szCs w:val="24"/>
        </w:rPr>
        <w:t xml:space="preserve"> </w:t>
      </w:r>
      <w:r>
        <w:rPr>
          <w:rFonts w:ascii="宋体" w:hAnsi="宋体" w:cs="宋体"/>
          <w:spacing w:val="-8"/>
          <w:sz w:val="24"/>
          <w:szCs w:val="24"/>
        </w:rPr>
        <w:t>、</w:t>
      </w:r>
      <w:r>
        <w:rPr>
          <w:rFonts w:ascii="宋体" w:hAnsi="宋体" w:cs="宋体"/>
          <w:spacing w:val="-118"/>
          <w:sz w:val="24"/>
          <w:szCs w:val="24"/>
        </w:rPr>
        <w:t xml:space="preserve"> </w:t>
      </w:r>
      <w:r>
        <w:rPr>
          <w:rFonts w:ascii="宋体" w:hAnsi="宋体" w:cs="宋体"/>
          <w:spacing w:val="-8"/>
          <w:sz w:val="24"/>
          <w:szCs w:val="24"/>
        </w:rPr>
        <w:t>《中华人民共和国政府采购法》</w:t>
      </w:r>
      <w:r>
        <w:rPr>
          <w:rFonts w:ascii="宋体" w:hAnsi="宋体" w:cs="宋体"/>
          <w:spacing w:val="3"/>
          <w:sz w:val="24"/>
          <w:szCs w:val="24"/>
        </w:rPr>
        <w:t xml:space="preserve"> </w:t>
      </w:r>
      <w:r>
        <w:rPr>
          <w:rFonts w:ascii="宋体" w:hAnsi="宋体" w:cs="宋体"/>
          <w:spacing w:val="-8"/>
          <w:sz w:val="24"/>
          <w:szCs w:val="24"/>
        </w:rPr>
        <w:t>与项目行业有</w:t>
      </w:r>
      <w:r>
        <w:rPr>
          <w:rFonts w:ascii="宋体" w:hAnsi="宋体" w:cs="宋体"/>
          <w:sz w:val="24"/>
          <w:szCs w:val="24"/>
        </w:rPr>
        <w:t xml:space="preserve"> </w:t>
      </w:r>
      <w:r>
        <w:rPr>
          <w:rFonts w:ascii="宋体" w:hAnsi="宋体" w:cs="宋体"/>
          <w:spacing w:val="-4"/>
          <w:sz w:val="24"/>
          <w:szCs w:val="24"/>
        </w:rPr>
        <w:t>关的法律法规，以及</w:t>
      </w:r>
      <w:r>
        <w:rPr>
          <w:rFonts w:ascii="宋体" w:hAnsi="宋体" w:cs="宋体"/>
          <w:spacing w:val="11"/>
          <w:sz w:val="24"/>
          <w:szCs w:val="24"/>
          <w:u w:val="single"/>
        </w:rPr>
        <w:t xml:space="preserve">     </w:t>
      </w:r>
      <w:r>
        <w:rPr>
          <w:rFonts w:ascii="宋体" w:hAnsi="宋体" w:cs="宋体"/>
          <w:spacing w:val="-4"/>
          <w:sz w:val="24"/>
          <w:szCs w:val="24"/>
        </w:rPr>
        <w:t>项目（采购编号</w:t>
      </w:r>
      <w:r>
        <w:rPr>
          <w:rFonts w:ascii="宋体" w:hAnsi="宋体" w:cs="宋体"/>
          <w:spacing w:val="-77"/>
          <w:sz w:val="24"/>
          <w:szCs w:val="24"/>
        </w:rPr>
        <w:t>：</w:t>
      </w:r>
      <w:r>
        <w:rPr>
          <w:rFonts w:ascii="宋体" w:hAnsi="宋体" w:cs="宋体"/>
          <w:spacing w:val="13"/>
          <w:sz w:val="24"/>
          <w:szCs w:val="24"/>
          <w:u w:val="single"/>
        </w:rPr>
        <w:t xml:space="preserve">       </w:t>
      </w:r>
      <w:r>
        <w:rPr>
          <w:rFonts w:ascii="宋体" w:hAnsi="宋体" w:cs="宋体"/>
          <w:spacing w:val="-77"/>
          <w:sz w:val="24"/>
          <w:szCs w:val="24"/>
        </w:rPr>
        <w:t>）</w:t>
      </w:r>
      <w:r>
        <w:rPr>
          <w:rFonts w:ascii="宋体" w:hAnsi="宋体" w:cs="宋体"/>
          <w:spacing w:val="-4"/>
          <w:sz w:val="24"/>
          <w:szCs w:val="24"/>
        </w:rPr>
        <w:t>的《竞争性磋商文件》</w:t>
      </w:r>
      <w:r>
        <w:rPr>
          <w:rFonts w:ascii="宋体" w:hAnsi="宋体" w:cs="宋体"/>
          <w:spacing w:val="16"/>
          <w:sz w:val="24"/>
          <w:szCs w:val="24"/>
        </w:rPr>
        <w:t xml:space="preserve"> </w:t>
      </w:r>
      <w:r>
        <w:rPr>
          <w:rFonts w:ascii="宋体" w:hAnsi="宋体" w:cs="宋体"/>
          <w:spacing w:val="-4"/>
          <w:sz w:val="24"/>
          <w:szCs w:val="24"/>
        </w:rPr>
        <w:t>，乙方</w:t>
      </w:r>
      <w:r>
        <w:rPr>
          <w:rFonts w:ascii="宋体" w:hAnsi="宋体" w:cs="宋体"/>
          <w:sz w:val="24"/>
          <w:szCs w:val="24"/>
        </w:rPr>
        <w:t xml:space="preserve"> </w:t>
      </w:r>
      <w:r>
        <w:rPr>
          <w:rFonts w:ascii="宋体" w:hAnsi="宋体" w:cs="宋体"/>
          <w:spacing w:val="-7"/>
          <w:sz w:val="24"/>
          <w:szCs w:val="24"/>
        </w:rPr>
        <w:t>的《响应文件》</w:t>
      </w:r>
      <w:r>
        <w:rPr>
          <w:rFonts w:ascii="宋体" w:hAnsi="宋体" w:cs="宋体"/>
          <w:spacing w:val="16"/>
          <w:sz w:val="24"/>
          <w:szCs w:val="24"/>
        </w:rPr>
        <w:t xml:space="preserve"> </w:t>
      </w:r>
      <w:r>
        <w:rPr>
          <w:rFonts w:ascii="宋体" w:hAnsi="宋体" w:cs="宋体"/>
          <w:spacing w:val="-7"/>
          <w:sz w:val="24"/>
          <w:szCs w:val="24"/>
        </w:rPr>
        <w:t>及《成交通知书》</w:t>
      </w:r>
      <w:r>
        <w:rPr>
          <w:rFonts w:ascii="宋体" w:hAnsi="宋体" w:cs="宋体"/>
          <w:spacing w:val="15"/>
          <w:sz w:val="24"/>
          <w:szCs w:val="24"/>
        </w:rPr>
        <w:t xml:space="preserve"> </w:t>
      </w:r>
      <w:r>
        <w:rPr>
          <w:rFonts w:ascii="宋体" w:hAnsi="宋体" w:cs="宋体"/>
          <w:spacing w:val="-7"/>
          <w:sz w:val="24"/>
          <w:szCs w:val="24"/>
        </w:rPr>
        <w:t>，甲、乙双方同意签订本合同。详细技术说明及其</w:t>
      </w:r>
      <w:r>
        <w:rPr>
          <w:rFonts w:ascii="宋体" w:hAnsi="宋体" w:cs="宋体"/>
          <w:sz w:val="24"/>
          <w:szCs w:val="24"/>
        </w:rPr>
        <w:t xml:space="preserve"> 他有关合同项目的特定信息由合同附件予以说明，合同附件及本项目的《竞争性磋商</w:t>
      </w:r>
      <w:r>
        <w:rPr>
          <w:rFonts w:ascii="宋体" w:hAnsi="宋体" w:cs="宋体"/>
          <w:spacing w:val="12"/>
          <w:sz w:val="24"/>
          <w:szCs w:val="24"/>
        </w:rPr>
        <w:t xml:space="preserve"> </w:t>
      </w:r>
      <w:r>
        <w:rPr>
          <w:rFonts w:ascii="宋体" w:hAnsi="宋体" w:cs="宋体"/>
          <w:spacing w:val="-14"/>
          <w:sz w:val="24"/>
          <w:szCs w:val="24"/>
        </w:rPr>
        <w:t>文件》</w:t>
      </w:r>
      <w:r>
        <w:rPr>
          <w:rFonts w:ascii="宋体" w:hAnsi="宋体" w:cs="宋体"/>
          <w:spacing w:val="41"/>
          <w:sz w:val="24"/>
          <w:szCs w:val="24"/>
        </w:rPr>
        <w:t xml:space="preserve"> </w:t>
      </w:r>
      <w:r>
        <w:rPr>
          <w:rFonts w:ascii="宋体" w:hAnsi="宋体" w:cs="宋体"/>
          <w:spacing w:val="-14"/>
          <w:sz w:val="24"/>
          <w:szCs w:val="24"/>
        </w:rPr>
        <w:t>、</w:t>
      </w:r>
      <w:r>
        <w:rPr>
          <w:rFonts w:ascii="宋体" w:hAnsi="宋体" w:cs="宋体"/>
          <w:spacing w:val="-120"/>
          <w:sz w:val="24"/>
          <w:szCs w:val="24"/>
        </w:rPr>
        <w:t xml:space="preserve"> </w:t>
      </w:r>
      <w:r>
        <w:rPr>
          <w:rFonts w:ascii="宋体" w:hAnsi="宋体" w:cs="宋体"/>
          <w:spacing w:val="-14"/>
          <w:sz w:val="24"/>
          <w:szCs w:val="24"/>
        </w:rPr>
        <w:t>《响应文件》</w:t>
      </w:r>
      <w:r>
        <w:rPr>
          <w:rFonts w:ascii="宋体" w:hAnsi="宋体" w:cs="宋体"/>
          <w:spacing w:val="12"/>
          <w:sz w:val="24"/>
          <w:szCs w:val="24"/>
        </w:rPr>
        <w:t xml:space="preserve"> </w:t>
      </w:r>
      <w:r>
        <w:rPr>
          <w:rFonts w:ascii="宋体" w:hAnsi="宋体" w:cs="宋体"/>
          <w:spacing w:val="-14"/>
          <w:sz w:val="24"/>
          <w:szCs w:val="24"/>
        </w:rPr>
        <w:t>、</w:t>
      </w:r>
      <w:r>
        <w:rPr>
          <w:rFonts w:ascii="宋体" w:hAnsi="宋体" w:cs="宋体"/>
          <w:spacing w:val="-120"/>
          <w:sz w:val="24"/>
          <w:szCs w:val="24"/>
        </w:rPr>
        <w:t xml:space="preserve"> </w:t>
      </w:r>
      <w:r>
        <w:rPr>
          <w:rFonts w:ascii="宋体" w:hAnsi="宋体" w:cs="宋体"/>
          <w:spacing w:val="-14"/>
          <w:sz w:val="24"/>
          <w:szCs w:val="24"/>
        </w:rPr>
        <w:t>《成交通知书》</w:t>
      </w:r>
      <w:r>
        <w:rPr>
          <w:rFonts w:ascii="宋体" w:hAnsi="宋体" w:cs="宋体"/>
          <w:spacing w:val="-3"/>
          <w:sz w:val="24"/>
          <w:szCs w:val="24"/>
        </w:rPr>
        <w:t xml:space="preserve"> </w:t>
      </w:r>
      <w:r>
        <w:rPr>
          <w:rFonts w:ascii="宋体" w:hAnsi="宋体" w:cs="宋体"/>
          <w:spacing w:val="-14"/>
          <w:sz w:val="24"/>
          <w:szCs w:val="24"/>
        </w:rPr>
        <w:t>等均为本合同的组成部分。</w:t>
      </w:r>
    </w:p>
    <w:p>
      <w:pPr>
        <w:spacing w:before="229" w:line="184" w:lineRule="auto"/>
        <w:ind w:firstLine="449"/>
        <w:rPr>
          <w:rFonts w:ascii="宋体" w:hAnsi="宋体" w:cs="宋体"/>
          <w:sz w:val="24"/>
          <w:szCs w:val="24"/>
        </w:rPr>
      </w:pPr>
      <w:r>
        <w:rPr>
          <w:rFonts w:ascii="宋体" w:hAnsi="宋体" w:cs="宋体"/>
          <w:spacing w:val="-3"/>
          <w:sz w:val="24"/>
          <w:szCs w:val="24"/>
          <w14:textOutline w14:w="4356" w14:cap="sq" w14:cmpd="sng" w14:algn="ctr">
            <w14:solidFill>
              <w14:srgbClr w14:val="000000"/>
            </w14:solidFill>
            <w14:prstDash w14:val="solid"/>
            <w14:bevel/>
          </w14:textOutline>
        </w:rPr>
        <w:t>1.项目基本情况</w:t>
      </w:r>
    </w:p>
    <w:p>
      <w:pPr>
        <w:spacing w:line="272" w:lineRule="auto"/>
        <w:rPr>
          <w:rFonts w:ascii="宋体"/>
        </w:rPr>
      </w:pPr>
    </w:p>
    <w:p>
      <w:pPr>
        <w:spacing w:line="272" w:lineRule="auto"/>
        <w:rPr>
          <w:rFonts w:ascii="宋体"/>
        </w:rPr>
      </w:pPr>
    </w:p>
    <w:p>
      <w:pPr>
        <w:spacing w:before="78" w:line="184" w:lineRule="auto"/>
        <w:ind w:firstLine="434"/>
        <w:rPr>
          <w:rFonts w:ascii="宋体" w:hAnsi="宋体" w:cs="宋体"/>
          <w:sz w:val="24"/>
          <w:szCs w:val="24"/>
        </w:rPr>
      </w:pPr>
      <w:r>
        <w:rPr>
          <w:rFonts w:ascii="宋体" w:hAnsi="宋体" w:cs="宋体"/>
          <w:spacing w:val="-2"/>
          <w:sz w:val="24"/>
          <w:szCs w:val="24"/>
          <w14:textOutline w14:w="4356" w14:cap="sq" w14:cmpd="sng" w14:algn="ctr">
            <w14:solidFill>
              <w14:srgbClr w14:val="000000"/>
            </w14:solidFill>
            <w14:prstDash w14:val="solid"/>
            <w14:bevel/>
          </w14:textOutline>
        </w:rPr>
        <w:t>2.合同期限</w:t>
      </w:r>
    </w:p>
    <w:p>
      <w:pPr>
        <w:spacing w:line="272" w:lineRule="auto"/>
        <w:rPr>
          <w:rFonts w:ascii="宋体"/>
        </w:rPr>
      </w:pPr>
    </w:p>
    <w:p>
      <w:pPr>
        <w:spacing w:line="272" w:lineRule="auto"/>
        <w:rPr>
          <w:rFonts w:ascii="宋体"/>
        </w:rPr>
      </w:pPr>
    </w:p>
    <w:p>
      <w:pPr>
        <w:spacing w:before="78" w:line="184" w:lineRule="auto"/>
        <w:ind w:firstLine="436"/>
        <w:rPr>
          <w:rFonts w:ascii="宋体" w:hAnsi="宋体" w:cs="宋体"/>
          <w:sz w:val="24"/>
          <w:szCs w:val="24"/>
        </w:rPr>
      </w:pPr>
      <w:r>
        <w:rPr>
          <w:rFonts w:ascii="宋体" w:hAnsi="宋体" w:cs="宋体"/>
          <w:spacing w:val="-1"/>
          <w:sz w:val="24"/>
          <w:szCs w:val="24"/>
          <w14:textOutline w14:w="4356" w14:cap="sq" w14:cmpd="sng" w14:algn="ctr">
            <w14:solidFill>
              <w14:srgbClr w14:val="000000"/>
            </w14:solidFill>
            <w14:prstDash w14:val="solid"/>
            <w14:bevel/>
          </w14:textOutline>
        </w:rPr>
        <w:t>3.服务内容与质量标准</w:t>
      </w:r>
    </w:p>
    <w:p>
      <w:pPr>
        <w:spacing w:line="271" w:lineRule="auto"/>
        <w:rPr>
          <w:rFonts w:ascii="宋体"/>
        </w:rPr>
      </w:pPr>
    </w:p>
    <w:p>
      <w:pPr>
        <w:spacing w:line="272" w:lineRule="auto"/>
        <w:rPr>
          <w:rFonts w:ascii="宋体"/>
        </w:rPr>
      </w:pPr>
    </w:p>
    <w:p>
      <w:pPr>
        <w:spacing w:before="79" w:line="184" w:lineRule="auto"/>
        <w:ind w:firstLine="430"/>
        <w:rPr>
          <w:rFonts w:ascii="宋体" w:hAnsi="宋体" w:cs="宋体"/>
          <w:sz w:val="24"/>
          <w:szCs w:val="24"/>
        </w:rPr>
      </w:pPr>
      <w:r>
        <w:rPr>
          <w:rFonts w:ascii="宋体" w:hAnsi="宋体" w:cs="宋体"/>
          <w:spacing w:val="-1"/>
          <w:sz w:val="24"/>
          <w:szCs w:val="24"/>
          <w14:textOutline w14:w="4356" w14:cap="sq" w14:cmpd="sng" w14:algn="ctr">
            <w14:solidFill>
              <w14:srgbClr w14:val="000000"/>
            </w14:solidFill>
            <w14:prstDash w14:val="solid"/>
            <w14:bevel/>
          </w14:textOutline>
        </w:rPr>
        <w:t>4.服务费用及支付方式</w:t>
      </w:r>
    </w:p>
    <w:p>
      <w:pPr>
        <w:spacing w:before="229" w:line="184" w:lineRule="auto"/>
        <w:ind w:firstLine="610"/>
        <w:rPr>
          <w:rFonts w:ascii="宋体" w:hAnsi="宋体" w:cs="宋体"/>
          <w:sz w:val="24"/>
          <w:szCs w:val="24"/>
        </w:rPr>
      </w:pPr>
      <w:r>
        <w:rPr>
          <w:rFonts w:ascii="宋体" w:hAnsi="宋体" w:cs="宋体"/>
          <w:spacing w:val="-3"/>
          <w:szCs w:val="21"/>
          <w14:textOutline w14:w="3797" w14:cap="sq" w14:cmpd="sng" w14:algn="ctr">
            <w14:solidFill>
              <w14:srgbClr w14:val="000000"/>
            </w14:solidFill>
            <w14:prstDash w14:val="solid"/>
            <w14:bevel/>
          </w14:textOutline>
        </w:rPr>
        <w:t>(一)</w:t>
      </w:r>
      <w:r>
        <w:rPr>
          <w:rFonts w:ascii="宋体" w:hAnsi="宋体" w:cs="宋体"/>
          <w:spacing w:val="-3"/>
          <w:sz w:val="24"/>
          <w:szCs w:val="24"/>
          <w14:textOutline w14:w="4356" w14:cap="sq" w14:cmpd="sng" w14:algn="ctr">
            <w14:solidFill>
              <w14:srgbClr w14:val="000000"/>
            </w14:solidFill>
            <w14:prstDash w14:val="solid"/>
            <w14:bevel/>
          </w14:textOutline>
        </w:rPr>
        <w:t>本项目服务费用由以下组成：</w:t>
      </w:r>
    </w:p>
    <w:p>
      <w:pPr>
        <w:spacing w:before="228" w:line="184" w:lineRule="auto"/>
        <w:ind w:firstLine="506"/>
        <w:rPr>
          <w:rFonts w:ascii="宋体" w:hAnsi="宋体" w:cs="宋体"/>
          <w:sz w:val="24"/>
          <w:szCs w:val="24"/>
        </w:rPr>
      </w:pPr>
      <w:r>
        <w:rPr>
          <w:rFonts w:ascii="宋体" w:hAnsi="宋体" w:cs="宋体"/>
          <w:spacing w:val="-9"/>
          <w:sz w:val="24"/>
          <w:szCs w:val="24"/>
        </w:rPr>
        <w:t>1、</w:t>
      </w:r>
      <w:r>
        <w:rPr>
          <w:rFonts w:ascii="宋体" w:hAnsi="宋体" w:cs="宋体"/>
          <w:spacing w:val="1"/>
          <w:sz w:val="24"/>
          <w:szCs w:val="24"/>
          <w:u w:val="single"/>
        </w:rPr>
        <w:t xml:space="preserve">         </w:t>
      </w:r>
      <w:r>
        <w:rPr>
          <w:rFonts w:ascii="宋体" w:hAnsi="宋体" w:cs="宋体"/>
          <w:spacing w:val="-9"/>
          <w:sz w:val="24"/>
          <w:szCs w:val="24"/>
        </w:rPr>
        <w:t>万元；</w:t>
      </w:r>
    </w:p>
    <w:p>
      <w:pPr>
        <w:spacing w:before="229" w:line="184" w:lineRule="auto"/>
        <w:ind w:firstLine="491"/>
        <w:rPr>
          <w:rFonts w:ascii="宋体" w:hAnsi="宋体" w:cs="宋体"/>
          <w:sz w:val="24"/>
          <w:szCs w:val="24"/>
        </w:rPr>
      </w:pPr>
      <w:r>
        <w:rPr>
          <w:rFonts w:ascii="宋体" w:hAnsi="宋体" w:cs="宋体"/>
          <w:spacing w:val="-6"/>
          <w:sz w:val="24"/>
          <w:szCs w:val="24"/>
        </w:rPr>
        <w:t>2、</w:t>
      </w:r>
      <w:r>
        <w:rPr>
          <w:rFonts w:ascii="宋体" w:hAnsi="宋体" w:cs="宋体"/>
          <w:spacing w:val="1"/>
          <w:sz w:val="24"/>
          <w:szCs w:val="24"/>
          <w:u w:val="single"/>
        </w:rPr>
        <w:t xml:space="preserve">         </w:t>
      </w:r>
      <w:r>
        <w:rPr>
          <w:rFonts w:ascii="宋体" w:hAnsi="宋体" w:cs="宋体"/>
          <w:spacing w:val="-6"/>
          <w:sz w:val="24"/>
          <w:szCs w:val="24"/>
        </w:rPr>
        <w:t>万元；</w:t>
      </w:r>
    </w:p>
    <w:p>
      <w:pPr>
        <w:spacing w:before="229" w:line="184" w:lineRule="auto"/>
        <w:ind w:firstLine="493"/>
        <w:rPr>
          <w:rFonts w:ascii="宋体" w:hAnsi="宋体" w:cs="宋体"/>
          <w:sz w:val="24"/>
          <w:szCs w:val="24"/>
        </w:rPr>
      </w:pPr>
      <w:r>
        <w:rPr>
          <w:rFonts w:ascii="宋体" w:hAnsi="宋体" w:cs="宋体"/>
          <w:spacing w:val="-6"/>
          <w:sz w:val="24"/>
          <w:szCs w:val="24"/>
        </w:rPr>
        <w:t>3、</w:t>
      </w:r>
      <w:r>
        <w:rPr>
          <w:rFonts w:ascii="宋体" w:hAnsi="宋体" w:cs="宋体"/>
          <w:spacing w:val="1"/>
          <w:sz w:val="24"/>
          <w:szCs w:val="24"/>
          <w:u w:val="single"/>
        </w:rPr>
        <w:t xml:space="preserve">         </w:t>
      </w:r>
      <w:r>
        <w:rPr>
          <w:rFonts w:ascii="宋体" w:hAnsi="宋体" w:cs="宋体"/>
          <w:spacing w:val="-6"/>
          <w:sz w:val="24"/>
          <w:szCs w:val="24"/>
        </w:rPr>
        <w:t>万元。</w:t>
      </w:r>
    </w:p>
    <w:p>
      <w:pPr>
        <w:spacing w:before="328" w:line="170" w:lineRule="exact"/>
        <w:ind w:firstLine="504"/>
        <w:rPr>
          <w:rFonts w:ascii="宋体" w:hAnsi="宋体" w:cs="宋体"/>
          <w:sz w:val="24"/>
          <w:szCs w:val="24"/>
        </w:rPr>
      </w:pPr>
      <w:r>
        <w:rPr>
          <w:rFonts w:ascii="宋体" w:hAnsi="宋体" w:cs="宋体"/>
          <w:spacing w:val="-13"/>
          <w:sz w:val="24"/>
          <w:szCs w:val="24"/>
        </w:rPr>
        <w:t>……</w:t>
      </w:r>
    </w:p>
    <w:p>
      <w:pPr>
        <w:spacing w:before="199" w:line="184" w:lineRule="auto"/>
        <w:ind w:firstLine="610"/>
        <w:rPr>
          <w:rFonts w:ascii="宋体" w:hAnsi="宋体" w:cs="宋体"/>
          <w:sz w:val="24"/>
          <w:szCs w:val="24"/>
        </w:rPr>
      </w:pPr>
      <w:r>
        <w:rPr>
          <w:rFonts w:ascii="宋体" w:hAnsi="宋体" w:cs="宋体"/>
          <w:spacing w:val="-4"/>
          <w:szCs w:val="21"/>
          <w14:textOutline w14:w="3797" w14:cap="sq" w14:cmpd="sng" w14:algn="ctr">
            <w14:solidFill>
              <w14:srgbClr w14:val="000000"/>
            </w14:solidFill>
            <w14:prstDash w14:val="solid"/>
            <w14:bevel/>
          </w14:textOutline>
        </w:rPr>
        <w:t>(二)</w:t>
      </w:r>
      <w:r>
        <w:rPr>
          <w:rFonts w:ascii="宋体" w:hAnsi="宋体" w:cs="宋体"/>
          <w:spacing w:val="-4"/>
          <w:sz w:val="24"/>
          <w:szCs w:val="24"/>
          <w14:textOutline w14:w="4356" w14:cap="sq" w14:cmpd="sng" w14:algn="ctr">
            <w14:solidFill>
              <w14:srgbClr w14:val="000000"/>
            </w14:solidFill>
            <w14:prstDash w14:val="solid"/>
            <w14:bevel/>
          </w14:textOutline>
        </w:rPr>
        <w:t>服务费支付方式：</w:t>
      </w:r>
    </w:p>
    <w:p>
      <w:pPr>
        <w:spacing w:line="256" w:lineRule="auto"/>
        <w:rPr>
          <w:rFonts w:ascii="宋体"/>
        </w:rPr>
      </w:pPr>
    </w:p>
    <w:p>
      <w:pPr>
        <w:spacing w:line="256" w:lineRule="auto"/>
        <w:rPr>
          <w:rFonts w:ascii="宋体"/>
        </w:rPr>
      </w:pPr>
    </w:p>
    <w:p>
      <w:pPr>
        <w:spacing w:before="78" w:line="184" w:lineRule="auto"/>
        <w:ind w:firstLine="13"/>
        <w:rPr>
          <w:rFonts w:ascii="宋体" w:hAnsi="宋体" w:cs="宋体"/>
          <w:sz w:val="24"/>
          <w:szCs w:val="24"/>
        </w:rPr>
      </w:pPr>
      <w:r>
        <w:rPr>
          <w:rFonts w:ascii="宋体" w:hAnsi="宋体" w:cs="宋体"/>
          <w:spacing w:val="-2"/>
          <w:sz w:val="24"/>
          <w:szCs w:val="24"/>
          <w14:textOutline w14:w="4356" w14:cap="sq" w14:cmpd="sng" w14:algn="ctr">
            <w14:solidFill>
              <w14:srgbClr w14:val="000000"/>
            </w14:solidFill>
            <w14:prstDash w14:val="solid"/>
            <w14:bevel/>
          </w14:textOutline>
        </w:rPr>
        <w:t>5.知识产权</w:t>
      </w:r>
    </w:p>
    <w:p>
      <w:pPr>
        <w:tabs>
          <w:tab w:val="center" w:pos="4451"/>
        </w:tabs>
        <w:rPr>
          <w:rFonts w:ascii="宋体" w:hAnsi="宋体" w:cs="宋体"/>
          <w:sz w:val="24"/>
          <w:szCs w:val="24"/>
        </w:rPr>
      </w:pPr>
      <w:r>
        <w:rPr>
          <w:rFonts w:hint="eastAsia"/>
        </w:rPr>
        <w:tab/>
      </w:r>
      <w:r>
        <w:rPr>
          <w:rFonts w:ascii="宋体" w:hAnsi="宋体" w:cs="宋体"/>
          <w:spacing w:val="-1"/>
          <w:sz w:val="24"/>
          <w:szCs w:val="24"/>
        </w:rPr>
        <w:t>乙方应保证所提供的服务或其任何一部分均不会侵犯任何第三方的专利权、商标</w:t>
      </w:r>
      <w:r>
        <w:rPr>
          <w:rFonts w:ascii="宋体" w:hAnsi="宋体" w:cs="宋体"/>
          <w:spacing w:val="23"/>
          <w:sz w:val="24"/>
          <w:szCs w:val="24"/>
        </w:rPr>
        <w:t xml:space="preserve"> </w:t>
      </w:r>
      <w:r>
        <w:rPr>
          <w:rFonts w:ascii="宋体" w:hAnsi="宋体" w:cs="宋体"/>
          <w:spacing w:val="-2"/>
          <w:sz w:val="24"/>
          <w:szCs w:val="24"/>
        </w:rPr>
        <w:t>权或著作权。</w:t>
      </w:r>
    </w:p>
    <w:p>
      <w:pPr>
        <w:spacing w:before="228" w:line="184" w:lineRule="auto"/>
        <w:ind w:firstLine="10"/>
        <w:rPr>
          <w:rFonts w:ascii="宋体" w:hAnsi="宋体" w:cs="宋体"/>
          <w:sz w:val="24"/>
          <w:szCs w:val="24"/>
        </w:rPr>
      </w:pPr>
      <w:r>
        <w:rPr>
          <w:rFonts w:ascii="宋体" w:hAnsi="宋体" w:cs="宋体"/>
          <w:spacing w:val="-1"/>
          <w:sz w:val="24"/>
          <w:szCs w:val="24"/>
          <w14:textOutline w14:w="4356" w14:cap="sq" w14:cmpd="sng" w14:algn="ctr">
            <w14:solidFill>
              <w14:srgbClr w14:val="000000"/>
            </w14:solidFill>
            <w14:prstDash w14:val="solid"/>
            <w14:bevel/>
          </w14:textOutline>
        </w:rPr>
        <w:t>6.无产权瑕疵条款</w:t>
      </w:r>
    </w:p>
    <w:p>
      <w:pPr>
        <w:spacing w:before="228" w:line="272" w:lineRule="auto"/>
        <w:ind w:left="12" w:right="98" w:firstLine="499"/>
        <w:rPr>
          <w:rFonts w:ascii="宋体" w:hAnsi="宋体" w:cs="宋体"/>
          <w:sz w:val="24"/>
          <w:szCs w:val="24"/>
        </w:rPr>
      </w:pPr>
      <w:r>
        <w:rPr>
          <w:rFonts w:ascii="宋体" w:hAnsi="宋体" w:cs="宋体"/>
          <w:spacing w:val="-2"/>
          <w:sz w:val="24"/>
          <w:szCs w:val="24"/>
        </w:rPr>
        <w:t>乙方保证所提供的服务的所有权完全属于乙方且无任何抵押、查封等产权瑕疵。</w:t>
      </w:r>
      <w:r>
        <w:rPr>
          <w:rFonts w:ascii="宋体" w:hAnsi="宋体" w:cs="宋体"/>
          <w:spacing w:val="23"/>
          <w:sz w:val="24"/>
          <w:szCs w:val="24"/>
        </w:rPr>
        <w:t xml:space="preserve"> </w:t>
      </w:r>
      <w:r>
        <w:rPr>
          <w:rFonts w:ascii="宋体" w:hAnsi="宋体" w:cs="宋体"/>
          <w:spacing w:val="-1"/>
          <w:sz w:val="24"/>
          <w:szCs w:val="24"/>
        </w:rPr>
        <w:t>如有产权瑕疵的，视为乙方违约。乙方应负担由此而产生的一切损失。</w:t>
      </w:r>
    </w:p>
    <w:p>
      <w:pPr>
        <w:spacing w:before="228" w:line="184" w:lineRule="auto"/>
        <w:ind w:firstLine="14"/>
        <w:rPr>
          <w:rFonts w:ascii="宋体" w:hAnsi="宋体" w:cs="宋体"/>
          <w:sz w:val="24"/>
          <w:szCs w:val="24"/>
        </w:rPr>
      </w:pPr>
      <w:r>
        <w:rPr>
          <w:rFonts w:ascii="宋体" w:hAnsi="宋体" w:cs="宋体"/>
          <w:spacing w:val="-2"/>
          <w:sz w:val="24"/>
          <w:szCs w:val="24"/>
          <w14:textOutline w14:w="4356" w14:cap="sq" w14:cmpd="sng" w14:algn="ctr">
            <w14:solidFill>
              <w14:srgbClr w14:val="000000"/>
            </w14:solidFill>
            <w14:prstDash w14:val="solid"/>
            <w14:bevel/>
          </w14:textOutline>
        </w:rPr>
        <w:t>7.履约保证金</w:t>
      </w:r>
    </w:p>
    <w:p>
      <w:pPr>
        <w:spacing w:before="229" w:line="184" w:lineRule="auto"/>
        <w:ind w:firstLine="506"/>
        <w:rPr>
          <w:rFonts w:ascii="宋体" w:hAnsi="宋体" w:cs="宋体"/>
          <w:sz w:val="24"/>
          <w:szCs w:val="24"/>
        </w:rPr>
      </w:pPr>
      <w:r>
        <w:rPr>
          <w:rFonts w:ascii="宋体" w:hAnsi="宋体" w:cs="宋体"/>
          <w:spacing w:val="-2"/>
          <w:sz w:val="24"/>
          <w:szCs w:val="24"/>
        </w:rPr>
        <w:t>1、乙方交纳人民币</w:t>
      </w:r>
      <w:r>
        <w:rPr>
          <w:rFonts w:ascii="宋体" w:hAnsi="宋体" w:cs="宋体"/>
          <w:spacing w:val="2"/>
          <w:sz w:val="24"/>
          <w:szCs w:val="24"/>
          <w:u w:val="single"/>
        </w:rPr>
        <w:t xml:space="preserve">      </w:t>
      </w:r>
      <w:r>
        <w:rPr>
          <w:rFonts w:ascii="宋体" w:hAnsi="宋体" w:cs="宋体"/>
          <w:spacing w:val="-2"/>
          <w:sz w:val="24"/>
          <w:szCs w:val="24"/>
        </w:rPr>
        <w:t>元作为本合同的履约保证金。</w:t>
      </w:r>
    </w:p>
    <w:p>
      <w:pPr>
        <w:spacing w:before="229" w:line="360" w:lineRule="auto"/>
        <w:ind w:left="13" w:right="63" w:firstLine="478"/>
        <w:rPr>
          <w:rFonts w:ascii="宋体" w:hAnsi="宋体" w:cs="宋体"/>
          <w:sz w:val="24"/>
          <w:szCs w:val="24"/>
        </w:rPr>
      </w:pPr>
      <w:r>
        <w:rPr>
          <w:rFonts w:ascii="宋体" w:hAnsi="宋体" w:cs="宋体"/>
          <w:spacing w:val="-4"/>
          <w:sz w:val="24"/>
          <w:szCs w:val="24"/>
        </w:rPr>
        <w:t>2、履约保证金作为违约金的一部分及用于补偿甲方因乙方不能履行合同义务而蒙</w:t>
      </w:r>
      <w:r>
        <w:rPr>
          <w:rFonts w:ascii="宋体" w:hAnsi="宋体" w:cs="宋体"/>
          <w:spacing w:val="33"/>
          <w:sz w:val="24"/>
          <w:szCs w:val="24"/>
        </w:rPr>
        <w:t xml:space="preserve"> </w:t>
      </w:r>
      <w:r>
        <w:rPr>
          <w:rFonts w:ascii="宋体" w:hAnsi="宋体" w:cs="宋体"/>
          <w:spacing w:val="-3"/>
          <w:sz w:val="24"/>
          <w:szCs w:val="24"/>
        </w:rPr>
        <w:t>受的损失。</w:t>
      </w:r>
    </w:p>
    <w:p>
      <w:pPr>
        <w:spacing w:line="204" w:lineRule="auto"/>
        <w:ind w:firstLine="9"/>
        <w:rPr>
          <w:rFonts w:ascii="宋体" w:hAnsi="宋体" w:cs="宋体"/>
          <w:sz w:val="24"/>
          <w:szCs w:val="24"/>
        </w:rPr>
      </w:pPr>
      <w:r>
        <w:rPr>
          <w:rFonts w:ascii="宋体" w:hAnsi="宋体" w:cs="宋体"/>
          <w:spacing w:val="-1"/>
          <w:sz w:val="24"/>
          <w:szCs w:val="24"/>
          <w14:textOutline w14:w="4356" w14:cap="sq" w14:cmpd="sng" w14:algn="ctr">
            <w14:solidFill>
              <w14:srgbClr w14:val="000000"/>
            </w14:solidFill>
            <w14:prstDash w14:val="solid"/>
            <w14:bevel/>
          </w14:textOutline>
        </w:rPr>
        <w:t>8.甲方的权利和义务</w:t>
      </w:r>
    </w:p>
    <w:p>
      <w:pPr>
        <w:spacing w:before="202" w:line="360" w:lineRule="auto"/>
        <w:ind w:left="8" w:right="63" w:firstLine="498"/>
        <w:rPr>
          <w:rFonts w:ascii="宋体" w:hAnsi="宋体" w:cs="宋体"/>
          <w:sz w:val="24"/>
          <w:szCs w:val="24"/>
        </w:rPr>
      </w:pPr>
      <w:r>
        <w:rPr>
          <w:rFonts w:ascii="宋体" w:hAnsi="宋体" w:cs="宋体"/>
          <w:spacing w:val="-4"/>
          <w:sz w:val="24"/>
          <w:szCs w:val="24"/>
        </w:rPr>
        <w:t>1、甲方有权对合同规定范围内乙方的服务行为进行监督和检查，拥有监管权。有</w:t>
      </w:r>
      <w:r>
        <w:rPr>
          <w:rFonts w:ascii="宋体" w:hAnsi="宋体" w:cs="宋体"/>
          <w:spacing w:val="18"/>
          <w:sz w:val="24"/>
          <w:szCs w:val="24"/>
        </w:rPr>
        <w:t xml:space="preserve"> </w:t>
      </w:r>
      <w:r>
        <w:rPr>
          <w:rFonts w:ascii="宋体" w:hAnsi="宋体" w:cs="宋体"/>
          <w:spacing w:val="-1"/>
          <w:sz w:val="24"/>
          <w:szCs w:val="24"/>
        </w:rPr>
        <w:t>权定期核对乙方提供服务所配备的人员数量。对甲方认为不合理的部分有权下达整改</w:t>
      </w:r>
      <w:r>
        <w:rPr>
          <w:rFonts w:ascii="宋体" w:hAnsi="宋体" w:cs="宋体"/>
          <w:spacing w:val="28"/>
          <w:sz w:val="24"/>
          <w:szCs w:val="24"/>
        </w:rPr>
        <w:t xml:space="preserve"> </w:t>
      </w:r>
      <w:r>
        <w:rPr>
          <w:rFonts w:ascii="宋体" w:hAnsi="宋体" w:cs="宋体"/>
          <w:spacing w:val="-1"/>
          <w:sz w:val="24"/>
          <w:szCs w:val="24"/>
        </w:rPr>
        <w:t>通知书，并要求乙方限期整改。</w:t>
      </w:r>
    </w:p>
    <w:p>
      <w:pPr>
        <w:spacing w:before="3" w:line="359" w:lineRule="auto"/>
        <w:ind w:left="13" w:right="63" w:firstLine="478"/>
        <w:rPr>
          <w:rFonts w:ascii="宋体" w:hAnsi="宋体" w:cs="宋体"/>
          <w:sz w:val="24"/>
          <w:szCs w:val="24"/>
        </w:rPr>
      </w:pPr>
      <w:r>
        <w:rPr>
          <w:rFonts w:ascii="宋体" w:hAnsi="宋体" w:cs="宋体"/>
          <w:spacing w:val="-4"/>
          <w:sz w:val="24"/>
          <w:szCs w:val="24"/>
        </w:rPr>
        <w:t>2、甲方有权依据双方签订的考评办法对乙方提供的服务进行定期考评。当考评结</w:t>
      </w:r>
      <w:r>
        <w:rPr>
          <w:rFonts w:ascii="宋体" w:hAnsi="宋体" w:cs="宋体"/>
          <w:spacing w:val="33"/>
          <w:sz w:val="24"/>
          <w:szCs w:val="24"/>
        </w:rPr>
        <w:t xml:space="preserve"> </w:t>
      </w:r>
      <w:r>
        <w:rPr>
          <w:rFonts w:ascii="宋体" w:hAnsi="宋体" w:cs="宋体"/>
          <w:spacing w:val="-1"/>
          <w:sz w:val="24"/>
          <w:szCs w:val="24"/>
        </w:rPr>
        <w:t>果未达到标准时，有权依据考评办法约定的数额扣除履约保证金。</w:t>
      </w:r>
    </w:p>
    <w:p>
      <w:pPr>
        <w:spacing w:line="202" w:lineRule="auto"/>
        <w:ind w:firstLine="493"/>
        <w:rPr>
          <w:rFonts w:ascii="宋体" w:hAnsi="宋体" w:cs="宋体"/>
          <w:sz w:val="24"/>
          <w:szCs w:val="24"/>
        </w:rPr>
      </w:pPr>
      <w:r>
        <w:rPr>
          <w:rFonts w:ascii="宋体" w:hAnsi="宋体" w:cs="宋体"/>
          <w:spacing w:val="-1"/>
          <w:sz w:val="24"/>
          <w:szCs w:val="24"/>
        </w:rPr>
        <w:t>3、负责检查监督乙方管理工作的实施及制度的执行情况。</w:t>
      </w:r>
    </w:p>
    <w:p>
      <w:pPr>
        <w:spacing w:before="206" w:line="184" w:lineRule="auto"/>
        <w:ind w:firstLine="488"/>
        <w:rPr>
          <w:rFonts w:ascii="宋体" w:hAnsi="宋体" w:cs="宋体"/>
          <w:sz w:val="24"/>
          <w:szCs w:val="24"/>
        </w:rPr>
      </w:pPr>
      <w:r>
        <w:rPr>
          <w:rFonts w:ascii="宋体" w:hAnsi="宋体" w:cs="宋体"/>
          <w:spacing w:val="-1"/>
          <w:sz w:val="24"/>
          <w:szCs w:val="24"/>
        </w:rPr>
        <w:t>4、根据本合同规定，按时向乙方支付应付服务费用。</w:t>
      </w:r>
    </w:p>
    <w:p>
      <w:pPr>
        <w:spacing w:before="229" w:line="184" w:lineRule="auto"/>
        <w:ind w:firstLine="493"/>
        <w:rPr>
          <w:rFonts w:ascii="宋体" w:hAnsi="宋体" w:cs="宋体"/>
          <w:sz w:val="24"/>
          <w:szCs w:val="24"/>
        </w:rPr>
      </w:pPr>
      <w:r>
        <w:rPr>
          <w:rFonts w:ascii="宋体" w:hAnsi="宋体" w:cs="宋体"/>
          <w:spacing w:val="-1"/>
          <w:sz w:val="24"/>
          <w:szCs w:val="24"/>
        </w:rPr>
        <w:t>5、国家法律、法规所规定由甲方承担的其它责任。</w:t>
      </w:r>
    </w:p>
    <w:p>
      <w:pPr>
        <w:spacing w:before="229" w:line="184" w:lineRule="auto"/>
        <w:ind w:firstLine="9"/>
        <w:rPr>
          <w:rFonts w:ascii="宋体" w:hAnsi="宋体" w:cs="宋体"/>
          <w:sz w:val="24"/>
          <w:szCs w:val="24"/>
        </w:rPr>
      </w:pPr>
      <w:r>
        <w:rPr>
          <w:rFonts w:ascii="宋体" w:hAnsi="宋体" w:cs="宋体"/>
          <w:spacing w:val="-1"/>
          <w:sz w:val="24"/>
          <w:szCs w:val="24"/>
          <w14:textOutline w14:w="4356" w14:cap="sq" w14:cmpd="sng" w14:algn="ctr">
            <w14:solidFill>
              <w14:srgbClr w14:val="000000"/>
            </w14:solidFill>
            <w14:prstDash w14:val="solid"/>
            <w14:bevel/>
          </w14:textOutline>
        </w:rPr>
        <w:t>9.乙方的权利和义务</w:t>
      </w:r>
    </w:p>
    <w:p>
      <w:pPr>
        <w:spacing w:before="228" w:line="184" w:lineRule="auto"/>
        <w:ind w:firstLine="506"/>
        <w:rPr>
          <w:rFonts w:ascii="宋体" w:hAnsi="宋体" w:cs="宋体"/>
          <w:sz w:val="24"/>
          <w:szCs w:val="24"/>
        </w:rPr>
      </w:pPr>
      <w:r>
        <w:rPr>
          <w:rFonts w:ascii="宋体" w:hAnsi="宋体" w:cs="宋体"/>
          <w:spacing w:val="-1"/>
          <w:sz w:val="24"/>
          <w:szCs w:val="24"/>
        </w:rPr>
        <w:t>1、对本合同规定的委托服务范围内的项目享有管理权及服务义务。</w:t>
      </w:r>
    </w:p>
    <w:p>
      <w:pPr>
        <w:spacing w:before="229" w:line="360" w:lineRule="auto"/>
        <w:ind w:left="8" w:right="63" w:firstLine="483"/>
        <w:rPr>
          <w:rFonts w:ascii="宋体" w:hAnsi="宋体" w:cs="宋体"/>
          <w:sz w:val="24"/>
          <w:szCs w:val="24"/>
        </w:rPr>
      </w:pPr>
      <w:r>
        <w:rPr>
          <w:rFonts w:ascii="宋体" w:hAnsi="宋体" w:cs="宋体"/>
          <w:spacing w:val="-4"/>
          <w:sz w:val="24"/>
          <w:szCs w:val="24"/>
        </w:rPr>
        <w:t>2、根据本合同的规定向甲方收取相关服务费用，并有权在本项目管理范围内管理</w:t>
      </w:r>
      <w:r>
        <w:rPr>
          <w:rFonts w:ascii="宋体" w:hAnsi="宋体" w:cs="宋体"/>
          <w:spacing w:val="33"/>
          <w:sz w:val="24"/>
          <w:szCs w:val="24"/>
        </w:rPr>
        <w:t xml:space="preserve"> </w:t>
      </w:r>
      <w:r>
        <w:rPr>
          <w:rFonts w:ascii="宋体" w:hAnsi="宋体" w:cs="宋体"/>
          <w:spacing w:val="-2"/>
          <w:sz w:val="24"/>
          <w:szCs w:val="24"/>
        </w:rPr>
        <w:t>及合理使用。</w:t>
      </w:r>
    </w:p>
    <w:p>
      <w:pPr>
        <w:spacing w:line="202" w:lineRule="auto"/>
        <w:ind w:firstLine="493"/>
        <w:rPr>
          <w:rFonts w:ascii="宋体" w:hAnsi="宋体" w:cs="宋体"/>
          <w:sz w:val="24"/>
          <w:szCs w:val="24"/>
        </w:rPr>
      </w:pPr>
      <w:r>
        <w:rPr>
          <w:rFonts w:ascii="宋体" w:hAnsi="宋体" w:cs="宋体"/>
          <w:spacing w:val="-2"/>
          <w:sz w:val="24"/>
          <w:szCs w:val="24"/>
        </w:rPr>
        <w:t>3、及时向甲方通告本项目服务范围内有关服务的重大事项，及时配合处理投诉。</w:t>
      </w:r>
    </w:p>
    <w:p>
      <w:pPr>
        <w:spacing w:before="206" w:line="184" w:lineRule="auto"/>
        <w:ind w:firstLine="488"/>
        <w:rPr>
          <w:rFonts w:ascii="宋体" w:hAnsi="宋体" w:cs="宋体"/>
          <w:sz w:val="24"/>
          <w:szCs w:val="24"/>
        </w:rPr>
      </w:pPr>
      <w:r>
        <w:rPr>
          <w:rFonts w:ascii="宋体" w:hAnsi="宋体" w:cs="宋体"/>
          <w:spacing w:val="-1"/>
          <w:sz w:val="24"/>
          <w:szCs w:val="24"/>
        </w:rPr>
        <w:t>4、接受项目行业管理部门及政府有关部门的指导，接受甲方的监督。</w:t>
      </w:r>
    </w:p>
    <w:p>
      <w:pPr>
        <w:spacing w:before="228" w:line="184" w:lineRule="auto"/>
        <w:ind w:firstLine="493"/>
        <w:rPr>
          <w:rFonts w:ascii="宋体" w:hAnsi="宋体" w:cs="宋体"/>
          <w:sz w:val="24"/>
          <w:szCs w:val="24"/>
        </w:rPr>
      </w:pPr>
      <w:r>
        <w:rPr>
          <w:rFonts w:ascii="宋体" w:hAnsi="宋体" w:cs="宋体"/>
          <w:spacing w:val="-1"/>
          <w:sz w:val="24"/>
          <w:szCs w:val="24"/>
        </w:rPr>
        <w:t>5、国家法律、法规所规定由乙方承担的其它责任。</w:t>
      </w:r>
    </w:p>
    <w:p>
      <w:pPr>
        <w:spacing w:before="229" w:line="184" w:lineRule="auto"/>
        <w:ind w:firstLine="26"/>
        <w:rPr>
          <w:rFonts w:ascii="宋体" w:hAnsi="宋体" w:cs="宋体"/>
          <w:sz w:val="24"/>
          <w:szCs w:val="24"/>
        </w:rPr>
      </w:pPr>
      <w:r>
        <w:rPr>
          <w:rFonts w:ascii="宋体" w:hAnsi="宋体" w:cs="宋体"/>
          <w:spacing w:val="-4"/>
          <w:sz w:val="24"/>
          <w:szCs w:val="24"/>
          <w14:textOutline w14:w="4356" w14:cap="sq" w14:cmpd="sng" w14:algn="ctr">
            <w14:solidFill>
              <w14:srgbClr w14:val="000000"/>
            </w14:solidFill>
            <w14:prstDash w14:val="solid"/>
            <w14:bevel/>
          </w14:textOutline>
        </w:rPr>
        <w:t>10.违约责任</w:t>
      </w:r>
    </w:p>
    <w:p>
      <w:pPr>
        <w:spacing w:before="229" w:line="184" w:lineRule="auto"/>
        <w:ind w:firstLine="506"/>
        <w:rPr>
          <w:rFonts w:ascii="宋体" w:hAnsi="宋体" w:cs="宋体"/>
          <w:sz w:val="24"/>
          <w:szCs w:val="24"/>
        </w:rPr>
      </w:pPr>
      <w:r>
        <w:rPr>
          <w:rFonts w:ascii="宋体" w:hAnsi="宋体" w:cs="宋体"/>
          <w:spacing w:val="-2"/>
          <w:sz w:val="24"/>
          <w:szCs w:val="24"/>
        </w:rPr>
        <w:t>1、甲乙双方必须遵守本合同并执行合同中的各项规定，保证本合同的正常履行。</w:t>
      </w:r>
    </w:p>
    <w:p>
      <w:pPr>
        <w:rPr>
          <w:rFonts w:ascii="宋体" w:hAnsi="宋体" w:cs="宋体"/>
          <w:sz w:val="24"/>
          <w:szCs w:val="24"/>
        </w:rPr>
      </w:pPr>
      <w:r>
        <w:rPr>
          <w:rFonts w:ascii="宋体" w:hAnsi="宋体" w:cs="宋体"/>
          <w:spacing w:val="-4"/>
          <w:sz w:val="24"/>
          <w:szCs w:val="24"/>
        </w:rPr>
        <w:t>2、如因乙方工作人员在履行职务过程中的的疏忽、失职、过错等故意或者过失原</w:t>
      </w:r>
      <w:r>
        <w:rPr>
          <w:rFonts w:ascii="宋体" w:hAnsi="宋体" w:cs="宋体"/>
          <w:spacing w:val="33"/>
          <w:sz w:val="24"/>
          <w:szCs w:val="24"/>
        </w:rPr>
        <w:t xml:space="preserve"> </w:t>
      </w:r>
      <w:r>
        <w:rPr>
          <w:rFonts w:ascii="宋体" w:hAnsi="宋体" w:cs="宋体"/>
          <w:spacing w:val="-1"/>
          <w:sz w:val="24"/>
          <w:szCs w:val="24"/>
        </w:rPr>
        <w:t>因给甲方造成损失或侵害，包括但不限于甲方本身的财产损失、由此而导致的甲方对任何第三方的法律责任等，乙方对此均应承担全部的赔偿责任。</w:t>
      </w:r>
    </w:p>
    <w:p>
      <w:pPr>
        <w:spacing w:before="228" w:line="184" w:lineRule="auto"/>
        <w:ind w:firstLine="26"/>
        <w:rPr>
          <w:rFonts w:ascii="宋体" w:hAnsi="宋体" w:cs="宋体"/>
          <w:sz w:val="24"/>
          <w:szCs w:val="24"/>
        </w:rPr>
      </w:pPr>
      <w:r>
        <w:rPr>
          <w:rFonts w:ascii="宋体" w:hAnsi="宋体" w:cs="宋体"/>
          <w:spacing w:val="-2"/>
          <w:sz w:val="24"/>
          <w:szCs w:val="24"/>
          <w14:textOutline w14:w="4356" w14:cap="sq" w14:cmpd="sng" w14:algn="ctr">
            <w14:solidFill>
              <w14:srgbClr w14:val="000000"/>
            </w14:solidFill>
            <w14:prstDash w14:val="solid"/>
            <w14:bevel/>
          </w14:textOutline>
        </w:rPr>
        <w:t>11.不可抗力事件处理</w:t>
      </w:r>
    </w:p>
    <w:p>
      <w:pPr>
        <w:spacing w:before="228" w:line="360" w:lineRule="auto"/>
        <w:ind w:left="10" w:right="44" w:firstLine="495"/>
        <w:rPr>
          <w:rFonts w:ascii="宋体" w:hAnsi="宋体" w:cs="宋体"/>
          <w:sz w:val="24"/>
          <w:szCs w:val="24"/>
        </w:rPr>
      </w:pPr>
      <w:r>
        <w:rPr>
          <w:rFonts w:ascii="宋体" w:hAnsi="宋体" w:cs="宋体"/>
          <w:spacing w:val="-4"/>
          <w:sz w:val="24"/>
          <w:szCs w:val="24"/>
        </w:rPr>
        <w:t>1、在合同有效期内，任何一方因不可抗力事件导致不能履行合同，则合同履行期</w:t>
      </w:r>
      <w:r>
        <w:rPr>
          <w:rFonts w:ascii="宋体" w:hAnsi="宋体" w:cs="宋体"/>
          <w:spacing w:val="18"/>
          <w:sz w:val="24"/>
          <w:szCs w:val="24"/>
        </w:rPr>
        <w:t xml:space="preserve"> </w:t>
      </w:r>
      <w:r>
        <w:rPr>
          <w:rFonts w:ascii="宋体" w:hAnsi="宋体" w:cs="宋体"/>
          <w:spacing w:val="-1"/>
          <w:sz w:val="24"/>
          <w:szCs w:val="24"/>
        </w:rPr>
        <w:t>可延长，其延长期与不可抗力影响期相同。</w:t>
      </w:r>
    </w:p>
    <w:p>
      <w:pPr>
        <w:spacing w:line="204" w:lineRule="auto"/>
        <w:ind w:firstLine="491"/>
        <w:rPr>
          <w:rFonts w:ascii="宋体" w:hAnsi="宋体" w:cs="宋体"/>
          <w:sz w:val="24"/>
          <w:szCs w:val="24"/>
        </w:rPr>
      </w:pPr>
      <w:r>
        <w:rPr>
          <w:rFonts w:ascii="宋体" w:hAnsi="宋体" w:cs="宋体"/>
          <w:spacing w:val="-1"/>
          <w:sz w:val="24"/>
          <w:szCs w:val="24"/>
        </w:rPr>
        <w:t>2、不可抗力事件发生后，应立即通知对方，并寄送有关权威机构出具的证明。</w:t>
      </w:r>
    </w:p>
    <w:p>
      <w:pPr>
        <w:spacing w:before="202" w:line="184" w:lineRule="auto"/>
        <w:ind w:firstLine="493"/>
        <w:rPr>
          <w:rFonts w:ascii="宋体" w:hAnsi="宋体" w:cs="宋体"/>
          <w:sz w:val="24"/>
          <w:szCs w:val="24"/>
        </w:rPr>
      </w:pPr>
      <w:r>
        <w:rPr>
          <w:rFonts w:ascii="宋体" w:hAnsi="宋体" w:cs="宋体"/>
          <w:spacing w:val="-4"/>
          <w:sz w:val="24"/>
          <w:szCs w:val="24"/>
        </w:rPr>
        <w:t>3、不可抗力事件延续</w:t>
      </w:r>
      <w:r>
        <w:rPr>
          <w:rFonts w:ascii="宋体" w:hAnsi="宋体" w:cs="宋体"/>
          <w:spacing w:val="3"/>
          <w:sz w:val="24"/>
          <w:szCs w:val="24"/>
          <w:u w:val="single"/>
        </w:rPr>
        <w:t xml:space="preserve">      </w:t>
      </w:r>
      <w:r>
        <w:rPr>
          <w:rFonts w:ascii="宋体" w:hAnsi="宋体" w:cs="宋体"/>
          <w:spacing w:val="-4"/>
          <w:sz w:val="24"/>
          <w:szCs w:val="24"/>
        </w:rPr>
        <w:t>天以上，双方应通过友好协商，确定是否继续履行合</w:t>
      </w:r>
    </w:p>
    <w:p>
      <w:pPr>
        <w:spacing w:line="268" w:lineRule="auto"/>
        <w:rPr>
          <w:rFonts w:ascii="宋体"/>
        </w:rPr>
      </w:pPr>
    </w:p>
    <w:p>
      <w:pPr>
        <w:spacing w:before="79" w:line="143" w:lineRule="exact"/>
        <w:ind w:firstLine="272"/>
        <w:rPr>
          <w:rFonts w:ascii="宋体" w:hAnsi="宋体" w:cs="宋体"/>
          <w:sz w:val="24"/>
          <w:szCs w:val="24"/>
        </w:rPr>
      </w:pPr>
      <w: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-60960</wp:posOffset>
                </wp:positionV>
                <wp:extent cx="157480" cy="180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7480" cy="180340"/>
                        </a:xfrm>
                        <a:prstGeom prst="rect">
                          <a:avLst/>
                        </a:prstGeom>
                        <a:noFill/>
                        <a:ln>
                          <a:noFill/>
                        </a:ln>
                      </wps:spPr>
                      <wps:txbx>
                        <w:txbxContent>
                          <w:p>
                            <w:pPr>
                              <w:spacing w:before="19" w:line="188" w:lineRule="auto"/>
                              <w:ind w:firstLine="20"/>
                              <w:rPr>
                                <w:rFonts w:ascii="宋体" w:hAnsi="宋体" w:cs="宋体"/>
                                <w:sz w:val="24"/>
                                <w:szCs w:val="24"/>
                              </w:rPr>
                            </w:pPr>
                            <w:r>
                              <w:rPr>
                                <w:rFonts w:ascii="宋体" w:hAnsi="宋体" w:cs="宋体"/>
                                <w:spacing w:val="-23"/>
                                <w:w w:val="95"/>
                                <w:sz w:val="24"/>
                                <w:szCs w:val="24"/>
                              </w:rPr>
                              <w:t>同</w:t>
                            </w:r>
                          </w:p>
                        </w:txbxContent>
                      </wps:txbx>
                      <wps:bodyPr lIns="0" tIns="0" rIns="0" bIns="0" upright="1"/>
                    </wps:wsp>
                  </a:graphicData>
                </a:graphic>
              </wp:anchor>
            </w:drawing>
          </mc:Choice>
          <mc:Fallback>
            <w:pict>
              <v:shape id="_x0000_s1026" o:spid="_x0000_s1026" o:spt="202" type="#_x0000_t202" style="position:absolute;left:0pt;margin-left:0.6pt;margin-top:-4.8pt;height:14.2pt;width:12.4pt;z-index:251661312;mso-width-relative:page;mso-height-relative:page;" filled="f" stroked="f" coordsize="21600,21600" o:gfxdata="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hgcyh1AAAAAYBAAAPAAAAAAAAAAEAIAAAACIAAABkcnMvZG93bnJldi54bWxQSwECFAAUAAAA&#10;CACHTuJAjrUAEbkBAABxAwAADgAAAAAAAAABACAAAAAjAQAAZHJzL2Uyb0RvYy54bWxQSwUGAAAA&#10;AAYABgBZAQAATgUAAAAA&#10;">
                <v:fill on="f" focussize="0,0"/>
                <v:stroke on="f"/>
                <v:imagedata o:title=""/>
                <o:lock v:ext="edit" aspectratio="f"/>
                <v:textbox inset="0mm,0mm,0mm,0mm">
                  <w:txbxContent>
                    <w:p>
                      <w:pPr>
                        <w:spacing w:before="19" w:line="188" w:lineRule="auto"/>
                        <w:ind w:firstLine="20"/>
                        <w:rPr>
                          <w:rFonts w:ascii="宋体" w:hAnsi="宋体" w:cs="宋体"/>
                          <w:sz w:val="24"/>
                          <w:szCs w:val="24"/>
                        </w:rPr>
                      </w:pPr>
                      <w:r>
                        <w:rPr>
                          <w:rFonts w:ascii="宋体" w:hAnsi="宋体" w:cs="宋体"/>
                          <w:spacing w:val="-23"/>
                          <w:w w:val="95"/>
                          <w:sz w:val="24"/>
                          <w:szCs w:val="24"/>
                        </w:rPr>
                        <w:t>同</w:t>
                      </w:r>
                    </w:p>
                  </w:txbxContent>
                </v:textbox>
              </v:shape>
            </w:pict>
          </mc:Fallback>
        </mc:AlternateContent>
      </w:r>
      <w:r>
        <w:rPr>
          <w:rFonts w:ascii="宋体" w:hAnsi="宋体" w:cs="宋体"/>
          <w:sz w:val="24"/>
          <w:szCs w:val="24"/>
        </w:rPr>
        <w:t>。</w:t>
      </w:r>
    </w:p>
    <w:p>
      <w:pPr>
        <w:spacing w:before="170" w:line="184" w:lineRule="auto"/>
        <w:ind w:firstLine="26"/>
        <w:rPr>
          <w:rFonts w:ascii="宋体" w:hAnsi="宋体" w:cs="宋体"/>
          <w:sz w:val="24"/>
          <w:szCs w:val="24"/>
        </w:rPr>
      </w:pPr>
      <w:r>
        <w:rPr>
          <w:rFonts w:ascii="宋体" w:hAnsi="宋体" w:cs="宋体"/>
          <w:spacing w:val="-2"/>
          <w:sz w:val="24"/>
          <w:szCs w:val="24"/>
          <w14:textOutline w14:w="4356" w14:cap="sq" w14:cmpd="sng" w14:algn="ctr">
            <w14:solidFill>
              <w14:srgbClr w14:val="000000"/>
            </w14:solidFill>
            <w14:prstDash w14:val="solid"/>
            <w14:bevel/>
          </w14:textOutline>
        </w:rPr>
        <w:t>12.解决合同纠纷的方式</w:t>
      </w:r>
    </w:p>
    <w:p>
      <w:pPr>
        <w:spacing w:before="229" w:line="272" w:lineRule="auto"/>
        <w:ind w:left="9" w:right="44" w:firstLine="496"/>
        <w:rPr>
          <w:rFonts w:ascii="宋体" w:hAnsi="宋体" w:cs="宋体"/>
          <w:sz w:val="24"/>
          <w:szCs w:val="24"/>
        </w:rPr>
      </w:pPr>
      <w:r>
        <w:rPr>
          <w:rFonts w:ascii="宋体" w:hAnsi="宋体" w:cs="宋体"/>
          <w:spacing w:val="-4"/>
          <w:sz w:val="24"/>
          <w:szCs w:val="24"/>
        </w:rPr>
        <w:t>1、在执行本合同中发生的或与本合同有关的争端，双方应通过友好协商解决，经</w:t>
      </w:r>
      <w:r>
        <w:rPr>
          <w:rFonts w:ascii="宋体" w:hAnsi="宋体" w:cs="宋体"/>
          <w:spacing w:val="18"/>
          <w:sz w:val="24"/>
          <w:szCs w:val="24"/>
        </w:rPr>
        <w:t xml:space="preserve"> </w:t>
      </w:r>
      <w:r>
        <w:rPr>
          <w:rFonts w:ascii="宋体" w:hAnsi="宋体" w:cs="宋体"/>
          <w:spacing w:val="-2"/>
          <w:sz w:val="24"/>
          <w:szCs w:val="24"/>
        </w:rPr>
        <w:t>协商在</w:t>
      </w:r>
      <w:r>
        <w:rPr>
          <w:rFonts w:ascii="宋体" w:hAnsi="宋体" w:cs="宋体"/>
          <w:spacing w:val="-29"/>
          <w:sz w:val="24"/>
          <w:szCs w:val="24"/>
        </w:rPr>
        <w:t xml:space="preserve"> </w:t>
      </w:r>
      <w:r>
        <w:rPr>
          <w:rFonts w:ascii="宋体" w:hAnsi="宋体" w:cs="宋体"/>
          <w:spacing w:val="-2"/>
          <w:szCs w:val="21"/>
        </w:rPr>
        <w:t>XX</w:t>
      </w:r>
      <w:r>
        <w:rPr>
          <w:rFonts w:ascii="宋体" w:hAnsi="宋体" w:cs="宋体"/>
          <w:spacing w:val="-39"/>
          <w:szCs w:val="21"/>
        </w:rPr>
        <w:t xml:space="preserve"> </w:t>
      </w:r>
      <w:r>
        <w:rPr>
          <w:rFonts w:ascii="宋体" w:hAnsi="宋体" w:cs="宋体"/>
          <w:spacing w:val="-2"/>
          <w:sz w:val="24"/>
          <w:szCs w:val="24"/>
        </w:rPr>
        <w:t>天内不能达成协议时，应提交地方仲裁委员会仲裁。</w:t>
      </w:r>
    </w:p>
    <w:p>
      <w:pPr>
        <w:spacing w:before="229" w:line="184" w:lineRule="auto"/>
        <w:ind w:firstLine="491"/>
        <w:rPr>
          <w:rFonts w:ascii="宋体" w:hAnsi="宋体" w:cs="宋体"/>
          <w:sz w:val="24"/>
          <w:szCs w:val="24"/>
        </w:rPr>
      </w:pPr>
      <w:r>
        <w:rPr>
          <w:rFonts w:ascii="宋体" w:hAnsi="宋体" w:cs="宋体"/>
          <w:spacing w:val="-1"/>
          <w:sz w:val="24"/>
          <w:szCs w:val="24"/>
        </w:rPr>
        <w:t>2、仲裁裁决应为最终决定，并对双方具有约束力。</w:t>
      </w:r>
    </w:p>
    <w:p>
      <w:pPr>
        <w:spacing w:before="229" w:line="184" w:lineRule="auto"/>
        <w:ind w:firstLine="493"/>
        <w:rPr>
          <w:rFonts w:ascii="宋体" w:hAnsi="宋体" w:cs="宋体"/>
          <w:sz w:val="24"/>
          <w:szCs w:val="24"/>
        </w:rPr>
      </w:pPr>
      <w:r>
        <w:rPr>
          <w:rFonts w:ascii="宋体" w:hAnsi="宋体" w:cs="宋体"/>
          <w:spacing w:val="-1"/>
          <w:sz w:val="24"/>
          <w:szCs w:val="24"/>
        </w:rPr>
        <w:t>3、除另有裁决外，仲裁费应由败诉方负担。</w:t>
      </w:r>
    </w:p>
    <w:p>
      <w:pPr>
        <w:spacing w:before="229" w:line="184" w:lineRule="auto"/>
        <w:ind w:firstLine="488"/>
        <w:rPr>
          <w:rFonts w:ascii="宋体" w:hAnsi="宋体" w:cs="宋体"/>
          <w:sz w:val="24"/>
          <w:szCs w:val="24"/>
        </w:rPr>
      </w:pPr>
      <w:r>
        <w:rPr>
          <w:rFonts w:ascii="宋体" w:hAnsi="宋体" w:cs="宋体"/>
          <w:spacing w:val="-1"/>
          <w:sz w:val="24"/>
          <w:szCs w:val="24"/>
        </w:rPr>
        <w:t>4、在仲裁期间，除正在进行仲裁部分外，合同其他部分继续执行。</w:t>
      </w:r>
    </w:p>
    <w:p>
      <w:pPr>
        <w:spacing w:before="228" w:line="184" w:lineRule="auto"/>
        <w:ind w:firstLine="26"/>
        <w:rPr>
          <w:rFonts w:ascii="宋体" w:hAnsi="宋体" w:cs="宋体"/>
          <w:sz w:val="24"/>
          <w:szCs w:val="24"/>
        </w:rPr>
      </w:pPr>
      <w:r>
        <w:rPr>
          <w:rFonts w:ascii="宋体" w:hAnsi="宋体" w:cs="宋体"/>
          <w:spacing w:val="-2"/>
          <w:sz w:val="24"/>
          <w:szCs w:val="24"/>
          <w14:textOutline w14:w="4356" w14:cap="sq" w14:cmpd="sng" w14:algn="ctr">
            <w14:solidFill>
              <w14:srgbClr w14:val="000000"/>
            </w14:solidFill>
            <w14:prstDash w14:val="solid"/>
            <w14:bevel/>
          </w14:textOutline>
        </w:rPr>
        <w:t>13.合同生效及其他</w:t>
      </w:r>
    </w:p>
    <w:p>
      <w:pPr>
        <w:spacing w:before="229" w:line="184" w:lineRule="auto"/>
        <w:ind w:firstLine="506"/>
        <w:rPr>
          <w:rFonts w:ascii="宋体" w:hAnsi="宋体" w:cs="宋体"/>
          <w:sz w:val="24"/>
          <w:szCs w:val="24"/>
        </w:rPr>
      </w:pPr>
      <w:r>
        <w:rPr>
          <w:rFonts w:ascii="宋体" w:hAnsi="宋体" w:cs="宋体"/>
          <w:spacing w:val="-1"/>
          <w:sz w:val="24"/>
          <w:szCs w:val="24"/>
        </w:rPr>
        <w:t>1、合同经双方法定代表人或授权委托代理人签字并加盖单位公章后生效。</w:t>
      </w:r>
    </w:p>
    <w:p>
      <w:pPr>
        <w:spacing w:before="228" w:line="360" w:lineRule="auto"/>
        <w:ind w:left="14" w:firstLine="477"/>
        <w:rPr>
          <w:rFonts w:ascii="宋体" w:hAnsi="宋体" w:cs="宋体"/>
          <w:sz w:val="24"/>
          <w:szCs w:val="24"/>
        </w:rPr>
      </w:pPr>
      <w:r>
        <w:rPr>
          <w:rFonts w:ascii="宋体" w:hAnsi="宋体" w:cs="宋体"/>
          <w:spacing w:val="-2"/>
          <w:sz w:val="24"/>
          <w:szCs w:val="24"/>
        </w:rPr>
        <w:t>2、合同执行中涉及采购资金和采购内容修改或补充的，须经采购监管部门审批，</w:t>
      </w:r>
      <w:r>
        <w:rPr>
          <w:rFonts w:ascii="宋体" w:hAnsi="宋体" w:cs="宋体"/>
          <w:spacing w:val="6"/>
          <w:sz w:val="24"/>
          <w:szCs w:val="24"/>
        </w:rPr>
        <w:t xml:space="preserve"> </w:t>
      </w:r>
      <w:r>
        <w:rPr>
          <w:rFonts w:ascii="宋体" w:hAnsi="宋体" w:cs="宋体"/>
          <w:spacing w:val="-1"/>
          <w:sz w:val="24"/>
          <w:szCs w:val="24"/>
        </w:rPr>
        <w:t>并签书面补充协议报采购监督管理部门备案，方可作为主合同不可分割的一部分。</w:t>
      </w:r>
    </w:p>
    <w:p>
      <w:pPr>
        <w:spacing w:before="1" w:line="272" w:lineRule="auto"/>
        <w:ind w:left="7" w:right="42" w:firstLine="486"/>
        <w:rPr>
          <w:rFonts w:ascii="宋体" w:hAnsi="宋体" w:cs="宋体"/>
          <w:sz w:val="24"/>
          <w:szCs w:val="24"/>
        </w:rPr>
      </w:pPr>
      <w:r>
        <w:rPr>
          <w:rFonts w:ascii="宋体" w:hAnsi="宋体" w:cs="宋体"/>
          <w:spacing w:val="-5"/>
          <w:sz w:val="24"/>
          <w:szCs w:val="24"/>
        </w:rPr>
        <w:t>3、本合同一式</w:t>
      </w:r>
      <w:r>
        <w:rPr>
          <w:rFonts w:ascii="宋体" w:hAnsi="宋体" w:cs="宋体"/>
          <w:spacing w:val="3"/>
          <w:sz w:val="24"/>
          <w:szCs w:val="24"/>
          <w:u w:val="single"/>
        </w:rPr>
        <w:t xml:space="preserve">     </w:t>
      </w:r>
      <w:r>
        <w:rPr>
          <w:rFonts w:ascii="宋体" w:hAnsi="宋体" w:cs="宋体"/>
          <w:spacing w:val="-5"/>
          <w:sz w:val="24"/>
          <w:szCs w:val="24"/>
        </w:rPr>
        <w:t>份，自双方签章之日起起效。甲方</w:t>
      </w:r>
      <w:r>
        <w:rPr>
          <w:rFonts w:ascii="宋体" w:hAnsi="宋体" w:cs="宋体"/>
          <w:spacing w:val="17"/>
          <w:sz w:val="24"/>
          <w:szCs w:val="24"/>
          <w:u w:val="single"/>
        </w:rPr>
        <w:t xml:space="preserve">    </w:t>
      </w:r>
      <w:r>
        <w:rPr>
          <w:rFonts w:ascii="宋体" w:hAnsi="宋体" w:cs="宋体"/>
          <w:spacing w:val="-5"/>
          <w:sz w:val="24"/>
          <w:szCs w:val="24"/>
        </w:rPr>
        <w:t>份，乙方</w:t>
      </w:r>
      <w:r>
        <w:rPr>
          <w:rFonts w:ascii="宋体" w:hAnsi="宋体" w:cs="宋体"/>
          <w:spacing w:val="17"/>
          <w:sz w:val="24"/>
          <w:szCs w:val="24"/>
          <w:u w:val="single"/>
        </w:rPr>
        <w:t xml:space="preserve">    </w:t>
      </w:r>
      <w:r>
        <w:rPr>
          <w:rFonts w:ascii="宋体" w:hAnsi="宋体" w:cs="宋体"/>
          <w:spacing w:val="-5"/>
          <w:sz w:val="24"/>
          <w:szCs w:val="24"/>
        </w:rPr>
        <w:t>份，采</w:t>
      </w:r>
      <w:r>
        <w:rPr>
          <w:rFonts w:ascii="宋体" w:hAnsi="宋体" w:cs="宋体"/>
          <w:spacing w:val="3"/>
          <w:sz w:val="24"/>
          <w:szCs w:val="24"/>
        </w:rPr>
        <w:t xml:space="preserve"> </w:t>
      </w:r>
      <w:r>
        <w:rPr>
          <w:rFonts w:ascii="宋体" w:hAnsi="宋体" w:cs="宋体"/>
          <w:spacing w:val="-2"/>
          <w:sz w:val="24"/>
          <w:szCs w:val="24"/>
        </w:rPr>
        <w:t>购代理机构</w:t>
      </w:r>
      <w:r>
        <w:rPr>
          <w:rFonts w:ascii="宋体" w:hAnsi="宋体" w:cs="宋体"/>
          <w:spacing w:val="5"/>
          <w:sz w:val="24"/>
          <w:szCs w:val="24"/>
          <w:u w:val="single"/>
        </w:rPr>
        <w:t xml:space="preserve">      </w:t>
      </w:r>
      <w:r>
        <w:rPr>
          <w:rFonts w:ascii="宋体" w:hAnsi="宋体" w:cs="宋体"/>
          <w:spacing w:val="-2"/>
          <w:sz w:val="24"/>
          <w:szCs w:val="24"/>
        </w:rPr>
        <w:t>份，同级财政部门备案</w:t>
      </w:r>
      <w:r>
        <w:rPr>
          <w:rFonts w:ascii="宋体" w:hAnsi="宋体" w:cs="宋体"/>
          <w:spacing w:val="2"/>
          <w:sz w:val="24"/>
          <w:szCs w:val="24"/>
          <w:u w:val="single"/>
        </w:rPr>
        <w:t xml:space="preserve">      </w:t>
      </w:r>
      <w:r>
        <w:rPr>
          <w:rFonts w:ascii="宋体" w:hAnsi="宋体" w:cs="宋体"/>
          <w:spacing w:val="-2"/>
          <w:sz w:val="24"/>
          <w:szCs w:val="24"/>
        </w:rPr>
        <w:t>份，具有同等法律效力。</w:t>
      </w:r>
    </w:p>
    <w:p>
      <w:pPr>
        <w:spacing w:before="229" w:line="184" w:lineRule="auto"/>
        <w:ind w:firstLine="26"/>
        <w:rPr>
          <w:rFonts w:ascii="宋体" w:hAnsi="宋体" w:cs="宋体"/>
          <w:sz w:val="24"/>
          <w:szCs w:val="24"/>
        </w:rPr>
      </w:pPr>
      <w:r>
        <w:rPr>
          <w:rFonts w:ascii="宋体" w:hAnsi="宋体" w:cs="宋体"/>
          <w:spacing w:val="-5"/>
          <w:sz w:val="24"/>
          <w:szCs w:val="24"/>
          <w14:textOutline w14:w="4356" w14:cap="sq" w14:cmpd="sng" w14:algn="ctr">
            <w14:solidFill>
              <w14:srgbClr w14:val="000000"/>
            </w14:solidFill>
            <w14:prstDash w14:val="solid"/>
            <w14:bevel/>
          </w14:textOutline>
        </w:rPr>
        <w:t>14.附件</w:t>
      </w:r>
    </w:p>
    <w:p/>
    <w:p/>
    <w:p>
      <w:pPr>
        <w:spacing w:line="165" w:lineRule="exact"/>
      </w:pPr>
    </w:p>
    <w:p>
      <w:pPr>
        <w:tabs>
          <w:tab w:val="center" w:pos="4474"/>
        </w:tabs>
        <w:rPr>
          <w:rFonts w:ascii="宋体" w:hAnsi="宋体" w:cs="宋体"/>
          <w:sz w:val="24"/>
          <w:szCs w:val="24"/>
        </w:rPr>
      </w:pPr>
      <w:r>
        <w:rPr>
          <w:rFonts w:ascii="宋体" w:hAnsi="宋体" w:cs="宋体"/>
          <w:spacing w:val="4"/>
          <w:position w:val="16"/>
          <w:sz w:val="24"/>
          <w:szCs w:val="24"/>
        </w:rPr>
        <w:t>甲方</w:t>
      </w:r>
      <w:r>
        <w:rPr>
          <w:rFonts w:ascii="宋体" w:hAnsi="宋体" w:cs="宋体"/>
          <w:spacing w:val="-103"/>
          <w:position w:val="16"/>
          <w:sz w:val="24"/>
          <w:szCs w:val="24"/>
        </w:rPr>
        <w:t>：</w:t>
      </w:r>
      <w:r>
        <w:rPr>
          <w:rFonts w:ascii="宋体" w:hAnsi="宋体" w:cs="宋体"/>
          <w:spacing w:val="6"/>
          <w:position w:val="16"/>
          <w:sz w:val="24"/>
          <w:szCs w:val="24"/>
        </w:rPr>
        <w:t xml:space="preserve">    </w:t>
      </w:r>
      <w:r>
        <w:rPr>
          <w:rFonts w:ascii="宋体" w:hAnsi="宋体" w:cs="宋体"/>
          <w:spacing w:val="-103"/>
          <w:position w:val="16"/>
          <w:sz w:val="24"/>
          <w:szCs w:val="24"/>
        </w:rPr>
        <w:t>（</w:t>
      </w:r>
      <w:r>
        <w:rPr>
          <w:rFonts w:ascii="宋体" w:hAnsi="宋体" w:cs="宋体"/>
          <w:spacing w:val="4"/>
          <w:position w:val="16"/>
          <w:sz w:val="24"/>
          <w:szCs w:val="24"/>
        </w:rPr>
        <w:t>盖章）</w:t>
      </w:r>
    </w:p>
    <w:p>
      <w:pPr>
        <w:spacing w:before="1" w:line="204" w:lineRule="auto"/>
        <w:rPr>
          <w:rFonts w:ascii="宋体" w:hAnsi="宋体" w:cs="宋体"/>
          <w:sz w:val="24"/>
          <w:szCs w:val="24"/>
        </w:rPr>
      </w:pPr>
      <w:r>
        <w:rPr>
          <w:rFonts w:ascii="宋体" w:hAnsi="宋体" w:cs="宋体"/>
          <w:spacing w:val="2"/>
          <w:sz w:val="24"/>
          <w:szCs w:val="24"/>
        </w:rPr>
        <w:t>法定代表人（授权代表</w:t>
      </w:r>
      <w:r>
        <w:rPr>
          <w:rFonts w:ascii="宋体" w:hAnsi="宋体" w:cs="宋体"/>
          <w:spacing w:val="-66"/>
          <w:sz w:val="24"/>
          <w:szCs w:val="24"/>
        </w:rPr>
        <w:t>）</w:t>
      </w:r>
      <w:r>
        <w:rPr>
          <w:rFonts w:ascii="宋体" w:hAnsi="宋体" w:cs="宋体"/>
          <w:spacing w:val="-19"/>
          <w:sz w:val="24"/>
          <w:szCs w:val="24"/>
        </w:rPr>
        <w:t xml:space="preserve"> </w:t>
      </w:r>
      <w:r>
        <w:rPr>
          <w:rFonts w:ascii="宋体" w:hAnsi="宋体" w:cs="宋体"/>
          <w:spacing w:val="-66"/>
          <w:sz w:val="24"/>
          <w:szCs w:val="24"/>
        </w:rPr>
        <w:t>：</w:t>
      </w:r>
    </w:p>
    <w:p>
      <w:pPr>
        <w:spacing w:before="202" w:line="184" w:lineRule="auto"/>
        <w:rPr>
          <w:rFonts w:ascii="宋体" w:hAnsi="宋体" w:cs="宋体"/>
          <w:sz w:val="24"/>
          <w:szCs w:val="24"/>
        </w:rPr>
      </w:pPr>
      <w:r>
        <w:rPr>
          <w:rFonts w:ascii="宋体" w:hAnsi="宋体" w:cs="宋体"/>
          <w:spacing w:val="-7"/>
          <w:sz w:val="24"/>
          <w:szCs w:val="24"/>
        </w:rPr>
        <w:t>地</w:t>
      </w:r>
      <w:r>
        <w:rPr>
          <w:rFonts w:ascii="宋体" w:hAnsi="宋体" w:cs="宋体"/>
          <w:spacing w:val="2"/>
          <w:sz w:val="24"/>
          <w:szCs w:val="24"/>
        </w:rPr>
        <w:t xml:space="preserve">    </w:t>
      </w:r>
      <w:r>
        <w:rPr>
          <w:rFonts w:ascii="宋体" w:hAnsi="宋体" w:cs="宋体"/>
          <w:spacing w:val="-7"/>
          <w:sz w:val="24"/>
          <w:szCs w:val="24"/>
        </w:rPr>
        <w:t>址：</w:t>
      </w:r>
    </w:p>
    <w:p>
      <w:pPr>
        <w:spacing w:before="229" w:line="184" w:lineRule="auto"/>
        <w:rPr>
          <w:rFonts w:ascii="宋体" w:hAnsi="宋体" w:cs="宋体"/>
          <w:sz w:val="24"/>
          <w:szCs w:val="24"/>
        </w:rPr>
      </w:pPr>
      <w:r>
        <w:rPr>
          <w:rFonts w:ascii="宋体" w:hAnsi="宋体" w:cs="宋体"/>
          <w:spacing w:val="-3"/>
          <w:sz w:val="24"/>
          <w:szCs w:val="24"/>
        </w:rPr>
        <w:t>开户银行：</w:t>
      </w:r>
    </w:p>
    <w:p>
      <w:pPr>
        <w:spacing w:before="229" w:line="184" w:lineRule="auto"/>
        <w:rPr>
          <w:rFonts w:ascii="宋体" w:hAnsi="宋体" w:cs="宋体"/>
          <w:sz w:val="24"/>
          <w:szCs w:val="24"/>
        </w:rPr>
      </w:pPr>
      <w:r>
        <w:rPr>
          <w:rFonts w:ascii="宋体" w:hAnsi="宋体" w:cs="宋体"/>
          <w:spacing w:val="-5"/>
          <w:sz w:val="24"/>
          <w:szCs w:val="24"/>
        </w:rPr>
        <w:t>账号：</w:t>
      </w:r>
    </w:p>
    <w:p>
      <w:pPr>
        <w:spacing w:before="229" w:line="184" w:lineRule="auto"/>
        <w:rPr>
          <w:rFonts w:ascii="宋体" w:hAnsi="宋体" w:cs="宋体"/>
          <w:sz w:val="24"/>
          <w:szCs w:val="24"/>
        </w:rPr>
      </w:pPr>
      <w:r>
        <w:rPr>
          <w:rFonts w:ascii="宋体" w:hAnsi="宋体" w:cs="宋体"/>
          <w:spacing w:val="-16"/>
          <w:sz w:val="24"/>
          <w:szCs w:val="24"/>
        </w:rPr>
        <w:t>电</w:t>
      </w:r>
      <w:r>
        <w:rPr>
          <w:rFonts w:ascii="宋体" w:hAnsi="宋体" w:cs="宋体"/>
          <w:spacing w:val="2"/>
          <w:sz w:val="24"/>
          <w:szCs w:val="24"/>
        </w:rPr>
        <w:t xml:space="preserve">    </w:t>
      </w:r>
      <w:r>
        <w:rPr>
          <w:rFonts w:ascii="宋体" w:hAnsi="宋体" w:cs="宋体"/>
          <w:spacing w:val="-16"/>
          <w:sz w:val="24"/>
          <w:szCs w:val="24"/>
        </w:rPr>
        <w:t>话：</w:t>
      </w:r>
    </w:p>
    <w:p>
      <w:pPr>
        <w:spacing w:before="229" w:line="184" w:lineRule="auto"/>
        <w:rPr>
          <w:rFonts w:ascii="宋体" w:hAnsi="宋体" w:cs="宋体"/>
          <w:sz w:val="24"/>
          <w:szCs w:val="24"/>
        </w:rPr>
      </w:pPr>
      <w:r>
        <w:rPr>
          <w:rFonts w:ascii="宋体" w:hAnsi="宋体" w:cs="宋体"/>
          <w:spacing w:val="-7"/>
          <w:sz w:val="24"/>
          <w:szCs w:val="24"/>
        </w:rPr>
        <w:t>传</w:t>
      </w:r>
      <w:r>
        <w:rPr>
          <w:rFonts w:ascii="宋体" w:hAnsi="宋体" w:cs="宋体"/>
          <w:spacing w:val="3"/>
          <w:sz w:val="24"/>
          <w:szCs w:val="24"/>
        </w:rPr>
        <w:t xml:space="preserve">    </w:t>
      </w:r>
      <w:r>
        <w:rPr>
          <w:rFonts w:ascii="宋体" w:hAnsi="宋体" w:cs="宋体"/>
          <w:spacing w:val="-7"/>
          <w:sz w:val="24"/>
          <w:szCs w:val="24"/>
        </w:rPr>
        <w:t>真：</w:t>
      </w:r>
    </w:p>
    <w:p>
      <w:pPr>
        <w:spacing w:before="228" w:line="184" w:lineRule="auto"/>
        <w:rPr>
          <w:rFonts w:ascii="宋体" w:hAnsi="宋体" w:cs="宋体"/>
          <w:sz w:val="24"/>
          <w:szCs w:val="24"/>
        </w:rPr>
      </w:pPr>
      <w:r>
        <w:rPr>
          <w:rFonts w:ascii="宋体" w:hAnsi="宋体" w:cs="宋体"/>
          <w:spacing w:val="-23"/>
          <w:w w:val="99"/>
          <w:sz w:val="24"/>
          <w:szCs w:val="24"/>
        </w:rPr>
        <w:t>签约日期：</w:t>
      </w:r>
      <w:r>
        <w:rPr>
          <w:rFonts w:ascii="宋体" w:hAnsi="宋体" w:cs="宋体"/>
          <w:spacing w:val="14"/>
          <w:sz w:val="24"/>
          <w:szCs w:val="24"/>
          <w:u w:val="single"/>
        </w:rPr>
        <w:t xml:space="preserve">    </w:t>
      </w:r>
      <w:r>
        <w:rPr>
          <w:rFonts w:ascii="宋体" w:hAnsi="宋体" w:cs="宋体"/>
          <w:spacing w:val="-23"/>
          <w:w w:val="99"/>
          <w:sz w:val="24"/>
          <w:szCs w:val="24"/>
        </w:rPr>
        <w:t>年</w:t>
      </w:r>
      <w:r>
        <w:rPr>
          <w:rFonts w:ascii="宋体" w:hAnsi="宋体" w:cs="宋体"/>
          <w:spacing w:val="4"/>
          <w:sz w:val="24"/>
          <w:szCs w:val="24"/>
          <w:u w:val="single"/>
        </w:rPr>
        <w:t xml:space="preserve">    </w:t>
      </w:r>
      <w:r>
        <w:rPr>
          <w:rFonts w:ascii="宋体" w:hAnsi="宋体" w:cs="宋体"/>
          <w:spacing w:val="-23"/>
          <w:w w:val="99"/>
          <w:sz w:val="24"/>
          <w:szCs w:val="24"/>
        </w:rPr>
        <w:t>月</w:t>
      </w:r>
      <w:r>
        <w:rPr>
          <w:rFonts w:ascii="宋体" w:hAnsi="宋体" w:cs="宋体"/>
          <w:spacing w:val="10"/>
          <w:sz w:val="24"/>
          <w:szCs w:val="24"/>
          <w:u w:val="single"/>
        </w:rPr>
        <w:t xml:space="preserve">     </w:t>
      </w:r>
      <w:r>
        <w:rPr>
          <w:rFonts w:ascii="宋体" w:hAnsi="宋体" w:cs="宋体"/>
          <w:spacing w:val="-23"/>
          <w:w w:val="99"/>
          <w:sz w:val="24"/>
          <w:szCs w:val="24"/>
        </w:rPr>
        <w:t>日</w:t>
      </w:r>
    </w:p>
    <w:p>
      <w:pPr>
        <w:spacing w:line="14" w:lineRule="auto"/>
        <w:rPr>
          <w:rFonts w:ascii="宋体"/>
          <w:sz w:val="2"/>
        </w:rPr>
      </w:pPr>
    </w:p>
    <w:p>
      <w:pPr>
        <w:spacing w:before="47" w:line="184" w:lineRule="auto"/>
        <w:rPr>
          <w:rFonts w:ascii="宋体" w:hAnsi="宋体" w:cs="宋体"/>
          <w:sz w:val="24"/>
          <w:szCs w:val="24"/>
        </w:rPr>
      </w:pPr>
      <w:r>
        <w:rPr>
          <w:rFonts w:ascii="宋体" w:hAnsi="宋体" w:cs="宋体"/>
          <w:spacing w:val="3"/>
          <w:sz w:val="24"/>
          <w:szCs w:val="24"/>
        </w:rPr>
        <w:t>乙方</w:t>
      </w:r>
      <w:r>
        <w:rPr>
          <w:rFonts w:ascii="宋体" w:hAnsi="宋体" w:cs="宋体"/>
          <w:spacing w:val="-103"/>
          <w:sz w:val="24"/>
          <w:szCs w:val="24"/>
        </w:rPr>
        <w:t>：</w:t>
      </w:r>
      <w:r>
        <w:rPr>
          <w:rFonts w:ascii="宋体" w:hAnsi="宋体" w:cs="宋体"/>
          <w:spacing w:val="9"/>
          <w:sz w:val="24"/>
          <w:szCs w:val="24"/>
        </w:rPr>
        <w:t xml:space="preserve">    </w:t>
      </w:r>
      <w:r>
        <w:rPr>
          <w:rFonts w:ascii="宋体" w:hAnsi="宋体" w:cs="宋体"/>
          <w:spacing w:val="-103"/>
          <w:sz w:val="24"/>
          <w:szCs w:val="24"/>
        </w:rPr>
        <w:t>（</w:t>
      </w:r>
      <w:r>
        <w:rPr>
          <w:rFonts w:ascii="宋体" w:hAnsi="宋体" w:cs="宋体"/>
          <w:spacing w:val="3"/>
          <w:sz w:val="24"/>
          <w:szCs w:val="24"/>
        </w:rPr>
        <w:t>盖章）</w:t>
      </w:r>
    </w:p>
    <w:p>
      <w:pPr>
        <w:spacing w:before="228" w:line="468" w:lineRule="exact"/>
        <w:rPr>
          <w:rFonts w:ascii="宋体" w:hAnsi="宋体" w:cs="宋体"/>
          <w:sz w:val="24"/>
          <w:szCs w:val="24"/>
        </w:rPr>
      </w:pPr>
      <w:r>
        <w:rPr>
          <w:rFonts w:ascii="宋体" w:hAnsi="宋体" w:cs="宋体"/>
          <w:spacing w:val="2"/>
          <w:position w:val="16"/>
          <w:sz w:val="24"/>
          <w:szCs w:val="24"/>
        </w:rPr>
        <w:t>法代表人（授权代表</w:t>
      </w:r>
      <w:r>
        <w:rPr>
          <w:rFonts w:ascii="宋体" w:hAnsi="宋体" w:cs="宋体"/>
          <w:spacing w:val="-66"/>
          <w:position w:val="16"/>
          <w:sz w:val="24"/>
          <w:szCs w:val="24"/>
        </w:rPr>
        <w:t>）</w:t>
      </w:r>
      <w:r>
        <w:rPr>
          <w:rFonts w:ascii="宋体" w:hAnsi="宋体" w:cs="宋体"/>
          <w:spacing w:val="-19"/>
          <w:position w:val="16"/>
          <w:sz w:val="24"/>
          <w:szCs w:val="24"/>
        </w:rPr>
        <w:t xml:space="preserve"> </w:t>
      </w:r>
      <w:r>
        <w:rPr>
          <w:rFonts w:ascii="宋体" w:hAnsi="宋体" w:cs="宋体"/>
          <w:spacing w:val="-66"/>
          <w:position w:val="16"/>
          <w:sz w:val="24"/>
          <w:szCs w:val="24"/>
        </w:rPr>
        <w:t>：</w:t>
      </w:r>
    </w:p>
    <w:p>
      <w:pPr>
        <w:spacing w:before="1" w:line="204" w:lineRule="auto"/>
        <w:rPr>
          <w:rFonts w:ascii="宋体" w:hAnsi="宋体" w:cs="宋体"/>
          <w:sz w:val="24"/>
          <w:szCs w:val="24"/>
        </w:rPr>
      </w:pPr>
      <w:r>
        <w:rPr>
          <w:rFonts w:ascii="宋体" w:hAnsi="宋体" w:cs="宋体"/>
          <w:spacing w:val="-7"/>
          <w:sz w:val="24"/>
          <w:szCs w:val="24"/>
        </w:rPr>
        <w:t>地</w:t>
      </w:r>
      <w:r>
        <w:rPr>
          <w:rFonts w:ascii="宋体" w:hAnsi="宋体" w:cs="宋体"/>
          <w:spacing w:val="2"/>
          <w:sz w:val="24"/>
          <w:szCs w:val="24"/>
        </w:rPr>
        <w:t xml:space="preserve">    </w:t>
      </w:r>
      <w:r>
        <w:rPr>
          <w:rFonts w:ascii="宋体" w:hAnsi="宋体" w:cs="宋体"/>
          <w:spacing w:val="-7"/>
          <w:sz w:val="24"/>
          <w:szCs w:val="24"/>
        </w:rPr>
        <w:t>址：</w:t>
      </w:r>
    </w:p>
    <w:p>
      <w:pPr>
        <w:spacing w:before="202" w:line="468" w:lineRule="exact"/>
        <w:rPr>
          <w:rFonts w:ascii="宋体" w:hAnsi="宋体" w:cs="宋体"/>
          <w:sz w:val="24"/>
          <w:szCs w:val="24"/>
        </w:rPr>
      </w:pPr>
      <w:r>
        <w:rPr>
          <w:rFonts w:ascii="宋体" w:hAnsi="宋体" w:cs="宋体"/>
          <w:spacing w:val="-3"/>
          <w:position w:val="16"/>
          <w:sz w:val="24"/>
          <w:szCs w:val="24"/>
        </w:rPr>
        <w:t>开户银行：</w:t>
      </w:r>
    </w:p>
    <w:p>
      <w:pPr>
        <w:spacing w:before="1" w:line="204" w:lineRule="auto"/>
        <w:rPr>
          <w:rFonts w:ascii="宋体" w:hAnsi="宋体" w:cs="宋体"/>
          <w:sz w:val="24"/>
          <w:szCs w:val="24"/>
        </w:rPr>
      </w:pPr>
      <w:r>
        <w:rPr>
          <w:rFonts w:ascii="宋体" w:hAnsi="宋体" w:cs="宋体"/>
          <w:spacing w:val="-5"/>
          <w:sz w:val="24"/>
          <w:szCs w:val="24"/>
        </w:rPr>
        <w:t>账号：</w:t>
      </w:r>
    </w:p>
    <w:p>
      <w:pPr>
        <w:spacing w:before="202" w:line="468" w:lineRule="exact"/>
        <w:rPr>
          <w:rFonts w:ascii="宋体" w:hAnsi="宋体" w:cs="宋体"/>
          <w:sz w:val="24"/>
          <w:szCs w:val="24"/>
        </w:rPr>
      </w:pPr>
      <w:r>
        <w:rPr>
          <w:rFonts w:ascii="宋体" w:hAnsi="宋体" w:cs="宋体"/>
          <w:spacing w:val="-16"/>
          <w:position w:val="16"/>
          <w:sz w:val="24"/>
          <w:szCs w:val="24"/>
        </w:rPr>
        <w:t>电</w:t>
      </w:r>
      <w:r>
        <w:rPr>
          <w:rFonts w:ascii="宋体" w:hAnsi="宋体" w:cs="宋体"/>
          <w:spacing w:val="2"/>
          <w:position w:val="16"/>
          <w:sz w:val="24"/>
          <w:szCs w:val="24"/>
        </w:rPr>
        <w:t xml:space="preserve">    </w:t>
      </w:r>
      <w:r>
        <w:rPr>
          <w:rFonts w:ascii="宋体" w:hAnsi="宋体" w:cs="宋体"/>
          <w:spacing w:val="-16"/>
          <w:position w:val="16"/>
          <w:sz w:val="24"/>
          <w:szCs w:val="24"/>
        </w:rPr>
        <w:t>话：</w:t>
      </w:r>
    </w:p>
    <w:p>
      <w:pPr>
        <w:spacing w:before="1" w:line="204" w:lineRule="auto"/>
        <w:rPr>
          <w:rFonts w:ascii="宋体" w:hAnsi="宋体" w:cs="宋体"/>
          <w:sz w:val="24"/>
          <w:szCs w:val="24"/>
        </w:rPr>
      </w:pPr>
      <w:r>
        <w:rPr>
          <w:rFonts w:ascii="宋体" w:hAnsi="宋体" w:cs="宋体"/>
          <w:spacing w:val="-7"/>
          <w:sz w:val="24"/>
          <w:szCs w:val="24"/>
        </w:rPr>
        <w:t>传</w:t>
      </w:r>
      <w:r>
        <w:rPr>
          <w:rFonts w:ascii="宋体" w:hAnsi="宋体" w:cs="宋体"/>
          <w:spacing w:val="3"/>
          <w:sz w:val="24"/>
          <w:szCs w:val="24"/>
        </w:rPr>
        <w:t xml:space="preserve">    </w:t>
      </w:r>
      <w:r>
        <w:rPr>
          <w:rFonts w:ascii="宋体" w:hAnsi="宋体" w:cs="宋体"/>
          <w:spacing w:val="-7"/>
          <w:sz w:val="24"/>
          <w:szCs w:val="24"/>
        </w:rPr>
        <w:t>真：</w:t>
      </w:r>
    </w:p>
    <w:p>
      <w:pPr>
        <w:spacing w:before="202" w:line="184" w:lineRule="auto"/>
        <w:rPr>
          <w:rFonts w:ascii="宋体" w:hAnsi="宋体" w:cs="宋体"/>
          <w:sz w:val="24"/>
          <w:szCs w:val="24"/>
        </w:rPr>
      </w:pPr>
      <w:r>
        <w:rPr>
          <w:rFonts w:ascii="宋体" w:hAnsi="宋体" w:cs="宋体"/>
          <w:spacing w:val="-23"/>
          <w:w w:val="99"/>
          <w:sz w:val="24"/>
          <w:szCs w:val="24"/>
        </w:rPr>
        <w:t>签约日期：</w:t>
      </w:r>
      <w:r>
        <w:rPr>
          <w:rFonts w:ascii="宋体" w:hAnsi="宋体" w:cs="宋体"/>
          <w:spacing w:val="9"/>
          <w:sz w:val="24"/>
          <w:szCs w:val="24"/>
          <w:u w:val="single"/>
        </w:rPr>
        <w:t xml:space="preserve">      </w:t>
      </w:r>
      <w:r>
        <w:rPr>
          <w:rFonts w:ascii="宋体" w:hAnsi="宋体" w:cs="宋体"/>
          <w:spacing w:val="-23"/>
          <w:w w:val="99"/>
          <w:sz w:val="24"/>
          <w:szCs w:val="24"/>
        </w:rPr>
        <w:t>年</w:t>
      </w:r>
      <w:r>
        <w:rPr>
          <w:rFonts w:ascii="宋体" w:hAnsi="宋体" w:cs="宋体"/>
          <w:spacing w:val="3"/>
          <w:sz w:val="24"/>
          <w:szCs w:val="24"/>
          <w:u w:val="single"/>
        </w:rPr>
        <w:t xml:space="preserve">     </w:t>
      </w:r>
      <w:r>
        <w:rPr>
          <w:rFonts w:ascii="宋体" w:hAnsi="宋体" w:cs="宋体"/>
          <w:spacing w:val="-23"/>
          <w:w w:val="99"/>
          <w:sz w:val="24"/>
          <w:szCs w:val="24"/>
        </w:rPr>
        <w:t>月</w:t>
      </w:r>
      <w:r>
        <w:rPr>
          <w:rFonts w:ascii="宋体" w:hAnsi="宋体" w:cs="宋体"/>
          <w:spacing w:val="9"/>
          <w:sz w:val="24"/>
          <w:szCs w:val="24"/>
          <w:u w:val="single"/>
        </w:rPr>
        <w:t xml:space="preserve">      </w:t>
      </w:r>
      <w:r>
        <w:rPr>
          <w:rFonts w:ascii="宋体" w:hAnsi="宋体" w:cs="宋体"/>
          <w:spacing w:val="-23"/>
          <w:w w:val="99"/>
          <w:sz w:val="24"/>
          <w:szCs w:val="24"/>
        </w:rPr>
        <w:t>日</w:t>
      </w:r>
    </w:p>
    <w:p>
      <w:pPr>
        <w:spacing w:line="440" w:lineRule="exact"/>
        <w:ind w:firstLine="480" w:firstLineChars="200"/>
        <w:jc w:val="left"/>
        <w:rPr>
          <w:rFonts w:ascii="宋体" w:hAnsi="宋体" w:cs="宋体"/>
          <w:bCs/>
          <w:sz w:val="24"/>
        </w:rPr>
      </w:pPr>
    </w:p>
    <w:sectPr>
      <w:footerReference r:id="rId10" w:type="default"/>
      <w:pgSz w:w="12240" w:h="15840"/>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left"/>
    </w:pPr>
    <w:r>
      <w:rPr>
        <w:rFonts w:hint="eastAsia" w:ascii="宋体" w:hAnsi="宋体" w:cs="宋体"/>
        <w:sz w:val="24"/>
        <w:szCs w:val="24"/>
      </w:rPr>
      <w:t>专业</w:t>
    </w:r>
    <w:r>
      <w:rPr>
        <w:rFonts w:hint="eastAsia"/>
        <w:sz w:val="24"/>
        <w:szCs w:val="24"/>
      </w:rPr>
      <w:t xml:space="preserve"> 诚信 高效                          四川艮鑫工程项目管理有限公司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A59DB"/>
    <w:multiLevelType w:val="singleLevel"/>
    <w:tmpl w:val="B99A59DB"/>
    <w:lvl w:ilvl="0" w:tentative="0">
      <w:start w:val="6"/>
      <w:numFmt w:val="decimal"/>
      <w:lvlText w:val="%1."/>
      <w:lvlJc w:val="left"/>
      <w:pPr>
        <w:tabs>
          <w:tab w:val="left" w:pos="312"/>
        </w:tabs>
      </w:pPr>
    </w:lvl>
  </w:abstractNum>
  <w:abstractNum w:abstractNumId="1">
    <w:nsid w:val="CA44C21D"/>
    <w:multiLevelType w:val="singleLevel"/>
    <w:tmpl w:val="CA44C21D"/>
    <w:lvl w:ilvl="0" w:tentative="0">
      <w:start w:val="9"/>
      <w:numFmt w:val="decimal"/>
      <w:lvlText w:val="%1."/>
      <w:lvlJc w:val="left"/>
      <w:pPr>
        <w:tabs>
          <w:tab w:val="left" w:pos="312"/>
        </w:tabs>
      </w:pPr>
    </w:lvl>
  </w:abstractNum>
  <w:abstractNum w:abstractNumId="2">
    <w:nsid w:val="DB6A5C12"/>
    <w:multiLevelType w:val="singleLevel"/>
    <w:tmpl w:val="DB6A5C12"/>
    <w:lvl w:ilvl="0" w:tentative="0">
      <w:start w:val="1"/>
      <w:numFmt w:val="decimal"/>
      <w:lvlText w:val="%1"/>
      <w:lvlJc w:val="left"/>
      <w:pPr>
        <w:tabs>
          <w:tab w:val="left" w:pos="420"/>
        </w:tabs>
        <w:ind w:left="425" w:hanging="425"/>
      </w:pPr>
      <w:rPr>
        <w:rFonts w:hint="default"/>
      </w:rPr>
    </w:lvl>
  </w:abstractNum>
  <w:abstractNum w:abstractNumId="3">
    <w:nsid w:val="FD2A4FA4"/>
    <w:multiLevelType w:val="singleLevel"/>
    <w:tmpl w:val="FD2A4FA4"/>
    <w:lvl w:ilvl="0" w:tentative="0">
      <w:start w:val="26"/>
      <w:numFmt w:val="decimal"/>
      <w:lvlText w:val="%1."/>
      <w:lvlJc w:val="left"/>
      <w:pPr>
        <w:tabs>
          <w:tab w:val="left" w:pos="312"/>
        </w:tabs>
      </w:pPr>
    </w:lvl>
  </w:abstractNum>
  <w:abstractNum w:abstractNumId="4">
    <w:nsid w:val="4D39F339"/>
    <w:multiLevelType w:val="singleLevel"/>
    <w:tmpl w:val="4D39F339"/>
    <w:lvl w:ilvl="0" w:tentative="0">
      <w:start w:val="2"/>
      <w:numFmt w:val="decimal"/>
      <w:lvlText w:val="%1."/>
      <w:lvlJc w:val="left"/>
      <w:pPr>
        <w:tabs>
          <w:tab w:val="left" w:pos="312"/>
        </w:tabs>
      </w:pPr>
    </w:lvl>
  </w:abstractNum>
  <w:abstractNum w:abstractNumId="5">
    <w:nsid w:val="53B98B7F"/>
    <w:multiLevelType w:val="singleLevel"/>
    <w:tmpl w:val="53B98B7F"/>
    <w:lvl w:ilvl="0" w:tentative="0">
      <w:start w:val="1"/>
      <w:numFmt w:val="chineseCounting"/>
      <w:suff w:val="nothing"/>
      <w:lvlText w:val="%1、"/>
      <w:lvlJc w:val="left"/>
      <w:rPr>
        <w:rFonts w:hint="eastAsia"/>
      </w:rPr>
    </w:lvl>
  </w:abstractNum>
  <w:abstractNum w:abstractNumId="6">
    <w:nsid w:val="7DFA2384"/>
    <w:multiLevelType w:val="singleLevel"/>
    <w:tmpl w:val="7DFA2384"/>
    <w:lvl w:ilvl="0" w:tentative="0">
      <w:start w:val="1"/>
      <w:numFmt w:val="decimal"/>
      <w:lvlText w:val="%1."/>
      <w:lvlJc w:val="left"/>
      <w:pPr>
        <w:tabs>
          <w:tab w:val="left" w:pos="312"/>
        </w:tabs>
      </w:p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2140"/>
    <w:rsid w:val="00172A27"/>
    <w:rsid w:val="0059208C"/>
    <w:rsid w:val="006C0EB0"/>
    <w:rsid w:val="00A52FC7"/>
    <w:rsid w:val="020F1032"/>
    <w:rsid w:val="0227123E"/>
    <w:rsid w:val="022D4558"/>
    <w:rsid w:val="02636B7E"/>
    <w:rsid w:val="030814A6"/>
    <w:rsid w:val="03C47FCF"/>
    <w:rsid w:val="0479558A"/>
    <w:rsid w:val="05805E21"/>
    <w:rsid w:val="06AF142E"/>
    <w:rsid w:val="073411B4"/>
    <w:rsid w:val="07A31975"/>
    <w:rsid w:val="07C73399"/>
    <w:rsid w:val="082C6A8F"/>
    <w:rsid w:val="084858E1"/>
    <w:rsid w:val="08BD15E1"/>
    <w:rsid w:val="08F66F2A"/>
    <w:rsid w:val="09456160"/>
    <w:rsid w:val="096923E6"/>
    <w:rsid w:val="09EF57BF"/>
    <w:rsid w:val="0A60428D"/>
    <w:rsid w:val="0A684F60"/>
    <w:rsid w:val="0A751BBA"/>
    <w:rsid w:val="0AE07F52"/>
    <w:rsid w:val="0C012F25"/>
    <w:rsid w:val="0C9E67A1"/>
    <w:rsid w:val="0D22354B"/>
    <w:rsid w:val="0D3D0DC3"/>
    <w:rsid w:val="0D9C61E8"/>
    <w:rsid w:val="0E597DEB"/>
    <w:rsid w:val="0EB81086"/>
    <w:rsid w:val="0F941B61"/>
    <w:rsid w:val="0FC968C2"/>
    <w:rsid w:val="0FDD679D"/>
    <w:rsid w:val="109E13E5"/>
    <w:rsid w:val="10A36432"/>
    <w:rsid w:val="11CB1A65"/>
    <w:rsid w:val="13421BA9"/>
    <w:rsid w:val="14B13434"/>
    <w:rsid w:val="15D20408"/>
    <w:rsid w:val="15DA0719"/>
    <w:rsid w:val="164B5CBB"/>
    <w:rsid w:val="16B14401"/>
    <w:rsid w:val="16E074A8"/>
    <w:rsid w:val="17530B1F"/>
    <w:rsid w:val="179F57B9"/>
    <w:rsid w:val="17EE12B2"/>
    <w:rsid w:val="181D2554"/>
    <w:rsid w:val="18745FB8"/>
    <w:rsid w:val="18EC46BB"/>
    <w:rsid w:val="18EE31B7"/>
    <w:rsid w:val="19974534"/>
    <w:rsid w:val="19EB76F9"/>
    <w:rsid w:val="1A2138B0"/>
    <w:rsid w:val="1A575FC5"/>
    <w:rsid w:val="1A5B2CCD"/>
    <w:rsid w:val="1A9F7B27"/>
    <w:rsid w:val="1CD275F7"/>
    <w:rsid w:val="1D9E377D"/>
    <w:rsid w:val="1E570D19"/>
    <w:rsid w:val="1F3E3B55"/>
    <w:rsid w:val="1F4B4E27"/>
    <w:rsid w:val="1F8B364E"/>
    <w:rsid w:val="200A3B8E"/>
    <w:rsid w:val="2058180A"/>
    <w:rsid w:val="208F123A"/>
    <w:rsid w:val="2112575A"/>
    <w:rsid w:val="22E1482A"/>
    <w:rsid w:val="22FF0219"/>
    <w:rsid w:val="241E4F61"/>
    <w:rsid w:val="246C114F"/>
    <w:rsid w:val="249C7146"/>
    <w:rsid w:val="24F56170"/>
    <w:rsid w:val="25E824EF"/>
    <w:rsid w:val="26C30B58"/>
    <w:rsid w:val="27455F08"/>
    <w:rsid w:val="281E51AF"/>
    <w:rsid w:val="28847C6C"/>
    <w:rsid w:val="28A35B6C"/>
    <w:rsid w:val="28AF422E"/>
    <w:rsid w:val="29B10E68"/>
    <w:rsid w:val="2A0017D8"/>
    <w:rsid w:val="2A2D4D2D"/>
    <w:rsid w:val="2A3825A7"/>
    <w:rsid w:val="2A57300E"/>
    <w:rsid w:val="2AAB15BF"/>
    <w:rsid w:val="2C237E79"/>
    <w:rsid w:val="2C6C5C32"/>
    <w:rsid w:val="2CD064F7"/>
    <w:rsid w:val="2D401E28"/>
    <w:rsid w:val="2D5622A0"/>
    <w:rsid w:val="2F061DA1"/>
    <w:rsid w:val="2FE95A97"/>
    <w:rsid w:val="31B36ED1"/>
    <w:rsid w:val="33485A81"/>
    <w:rsid w:val="336E4662"/>
    <w:rsid w:val="3440467C"/>
    <w:rsid w:val="34AA0826"/>
    <w:rsid w:val="34E333B9"/>
    <w:rsid w:val="35564EDA"/>
    <w:rsid w:val="357B7140"/>
    <w:rsid w:val="360208DC"/>
    <w:rsid w:val="36524A64"/>
    <w:rsid w:val="36663E67"/>
    <w:rsid w:val="398947E7"/>
    <w:rsid w:val="39996748"/>
    <w:rsid w:val="3AD7269B"/>
    <w:rsid w:val="3AF37D3B"/>
    <w:rsid w:val="3B005671"/>
    <w:rsid w:val="3BA92C28"/>
    <w:rsid w:val="3BEB7374"/>
    <w:rsid w:val="3C6B3920"/>
    <w:rsid w:val="3C7F5E59"/>
    <w:rsid w:val="3D1B457D"/>
    <w:rsid w:val="3F3E089C"/>
    <w:rsid w:val="3F8A403E"/>
    <w:rsid w:val="415424C5"/>
    <w:rsid w:val="41604071"/>
    <w:rsid w:val="41ED6F3E"/>
    <w:rsid w:val="421A2174"/>
    <w:rsid w:val="435301BF"/>
    <w:rsid w:val="437B673E"/>
    <w:rsid w:val="44A505D9"/>
    <w:rsid w:val="44F91307"/>
    <w:rsid w:val="453967D5"/>
    <w:rsid w:val="45EB25CE"/>
    <w:rsid w:val="46183DDA"/>
    <w:rsid w:val="468D232C"/>
    <w:rsid w:val="46E83A9B"/>
    <w:rsid w:val="470538F2"/>
    <w:rsid w:val="473F1C43"/>
    <w:rsid w:val="47457C70"/>
    <w:rsid w:val="484177DE"/>
    <w:rsid w:val="48AF31A3"/>
    <w:rsid w:val="48BA6AB1"/>
    <w:rsid w:val="49644F63"/>
    <w:rsid w:val="49BB5831"/>
    <w:rsid w:val="4A220AEA"/>
    <w:rsid w:val="4A6804E5"/>
    <w:rsid w:val="4B60536E"/>
    <w:rsid w:val="4C8E4C94"/>
    <w:rsid w:val="4D962A77"/>
    <w:rsid w:val="4DF33BA5"/>
    <w:rsid w:val="4E58534C"/>
    <w:rsid w:val="4E5D242E"/>
    <w:rsid w:val="4F017D2C"/>
    <w:rsid w:val="4F6A0B1E"/>
    <w:rsid w:val="4F88028F"/>
    <w:rsid w:val="4FCC32D2"/>
    <w:rsid w:val="501D32B1"/>
    <w:rsid w:val="50703055"/>
    <w:rsid w:val="52E22F32"/>
    <w:rsid w:val="52FC3568"/>
    <w:rsid w:val="53952AEC"/>
    <w:rsid w:val="539F551F"/>
    <w:rsid w:val="53C334A1"/>
    <w:rsid w:val="54C65077"/>
    <w:rsid w:val="54FC5F5D"/>
    <w:rsid w:val="55025F0D"/>
    <w:rsid w:val="561D3277"/>
    <w:rsid w:val="56871713"/>
    <w:rsid w:val="56A83688"/>
    <w:rsid w:val="56FA441E"/>
    <w:rsid w:val="57123C2C"/>
    <w:rsid w:val="590E58C8"/>
    <w:rsid w:val="5923590A"/>
    <w:rsid w:val="5A3E700E"/>
    <w:rsid w:val="5AA5460C"/>
    <w:rsid w:val="5AB07B0C"/>
    <w:rsid w:val="5CC80274"/>
    <w:rsid w:val="5CD44559"/>
    <w:rsid w:val="5D5C576A"/>
    <w:rsid w:val="5DE226D0"/>
    <w:rsid w:val="60496BEC"/>
    <w:rsid w:val="60D424A1"/>
    <w:rsid w:val="623B0A50"/>
    <w:rsid w:val="63136A20"/>
    <w:rsid w:val="6315777B"/>
    <w:rsid w:val="6457246E"/>
    <w:rsid w:val="650B6756"/>
    <w:rsid w:val="658C5DAA"/>
    <w:rsid w:val="65A2369B"/>
    <w:rsid w:val="65C929AC"/>
    <w:rsid w:val="65E72E67"/>
    <w:rsid w:val="6619172D"/>
    <w:rsid w:val="669834D4"/>
    <w:rsid w:val="67080D92"/>
    <w:rsid w:val="67BD28C8"/>
    <w:rsid w:val="67D05A36"/>
    <w:rsid w:val="683C268B"/>
    <w:rsid w:val="68AF4C7D"/>
    <w:rsid w:val="68FC5A95"/>
    <w:rsid w:val="696405DF"/>
    <w:rsid w:val="69A137E3"/>
    <w:rsid w:val="69DA25D0"/>
    <w:rsid w:val="6A2E1095"/>
    <w:rsid w:val="6A2F2D40"/>
    <w:rsid w:val="6A956594"/>
    <w:rsid w:val="6B3858E0"/>
    <w:rsid w:val="6BF0222D"/>
    <w:rsid w:val="6CB61C70"/>
    <w:rsid w:val="6D30434C"/>
    <w:rsid w:val="6DF54B6B"/>
    <w:rsid w:val="6E07041D"/>
    <w:rsid w:val="6F12414B"/>
    <w:rsid w:val="6F191129"/>
    <w:rsid w:val="6F796B46"/>
    <w:rsid w:val="6F9F6DFA"/>
    <w:rsid w:val="6FAE7E7A"/>
    <w:rsid w:val="7023334A"/>
    <w:rsid w:val="709624F4"/>
    <w:rsid w:val="710955FF"/>
    <w:rsid w:val="71860464"/>
    <w:rsid w:val="718E69B8"/>
    <w:rsid w:val="71EF4235"/>
    <w:rsid w:val="72D66EA2"/>
    <w:rsid w:val="73A0137D"/>
    <w:rsid w:val="742650CA"/>
    <w:rsid w:val="748E51B2"/>
    <w:rsid w:val="767A3FE6"/>
    <w:rsid w:val="76F141AD"/>
    <w:rsid w:val="78A81C89"/>
    <w:rsid w:val="78AC105C"/>
    <w:rsid w:val="790201C2"/>
    <w:rsid w:val="790634BE"/>
    <w:rsid w:val="79AA48A2"/>
    <w:rsid w:val="79C45485"/>
    <w:rsid w:val="79F95CCE"/>
    <w:rsid w:val="7B7014BE"/>
    <w:rsid w:val="7C0958E2"/>
    <w:rsid w:val="7CB270D6"/>
    <w:rsid w:val="7CC642D2"/>
    <w:rsid w:val="7DF976A2"/>
    <w:rsid w:val="7E24204C"/>
    <w:rsid w:val="7EF46A59"/>
    <w:rsid w:val="7F4A6769"/>
    <w:rsid w:val="7F752232"/>
    <w:rsid w:val="7FF9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4">
    <w:name w:val="heading 1"/>
    <w:basedOn w:val="1"/>
    <w:next w:val="1"/>
    <w:link w:val="34"/>
    <w:qFormat/>
    <w:uiPriority w:val="0"/>
    <w:pPr>
      <w:keepNext/>
      <w:keepLines/>
      <w:spacing w:before="340" w:after="330"/>
      <w:jc w:val="center"/>
      <w:outlineLvl w:val="0"/>
    </w:pPr>
    <w:rPr>
      <w:b/>
      <w:kern w:val="44"/>
      <w:sz w:val="32"/>
    </w:rPr>
  </w:style>
  <w:style w:type="paragraph" w:styleId="5">
    <w:name w:val="heading 2"/>
    <w:basedOn w:val="1"/>
    <w:next w:val="1"/>
    <w:link w:val="33"/>
    <w:unhideWhenUsed/>
    <w:qFormat/>
    <w:uiPriority w:val="0"/>
    <w:pPr>
      <w:keepNext/>
      <w:keepLines/>
      <w:spacing w:before="260" w:after="260"/>
      <w:jc w:val="center"/>
      <w:outlineLvl w:val="1"/>
    </w:pPr>
    <w:rPr>
      <w:rFonts w:ascii="Arial" w:hAnsi="Arial"/>
      <w:b/>
      <w:sz w:val="30"/>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paragraph" w:styleId="7">
    <w:name w:val="heading 5"/>
    <w:basedOn w:val="1"/>
    <w:next w:val="1"/>
    <w:qFormat/>
    <w:uiPriority w:val="1"/>
    <w:pPr>
      <w:ind w:left="880"/>
      <w:outlineLvl w:val="4"/>
    </w:pPr>
    <w:rPr>
      <w:rFonts w:ascii="宋体" w:hAnsi="宋体" w:cs="宋体"/>
      <w:b/>
      <w:bCs/>
      <w:sz w:val="24"/>
      <w:lang w:val="zh-CN" w:bidi="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pPr>
    <w:rPr>
      <w:rFonts w:ascii="Times New Roman" w:hAnsi="Times New Roman"/>
      <w:color w:val="000000"/>
      <w:sz w:val="24"/>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8">
    <w:name w:val="Normal Indent"/>
    <w:basedOn w:val="1"/>
    <w:qFormat/>
    <w:uiPriority w:val="0"/>
    <w:pPr>
      <w:ind w:firstLine="200" w:firstLineChars="200"/>
    </w:pPr>
  </w:style>
  <w:style w:type="paragraph" w:styleId="9">
    <w:name w:val="Body Text"/>
    <w:basedOn w:val="1"/>
    <w:next w:val="2"/>
    <w:link w:val="39"/>
    <w:qFormat/>
    <w:uiPriority w:val="99"/>
    <w:pPr>
      <w:spacing w:after="120"/>
    </w:pPr>
  </w:style>
  <w:style w:type="paragraph" w:styleId="10">
    <w:name w:val="Body Text Indent"/>
    <w:basedOn w:val="1"/>
    <w:qFormat/>
    <w:uiPriority w:val="0"/>
    <w:pPr>
      <w:ind w:firstLine="630"/>
    </w:pPr>
    <w:rPr>
      <w:sz w:val="32"/>
    </w:rPr>
  </w:style>
  <w:style w:type="paragraph" w:styleId="11">
    <w:name w:val="Plain Text"/>
    <w:basedOn w:val="1"/>
    <w:qFormat/>
    <w:uiPriority w:val="0"/>
    <w:rPr>
      <w:rFonts w:ascii="宋体" w:hAnsi="Courier New"/>
    </w:rPr>
  </w:style>
  <w:style w:type="paragraph" w:styleId="12">
    <w:name w:val="Body Text Indent 2"/>
    <w:basedOn w:val="1"/>
    <w:link w:val="44"/>
    <w:unhideWhenUsed/>
    <w:qFormat/>
    <w:uiPriority w:val="0"/>
    <w:pPr>
      <w:widowControl w:val="0"/>
      <w:spacing w:after="120" w:line="480" w:lineRule="auto"/>
      <w:ind w:left="420" w:leftChars="200"/>
    </w:pPr>
    <w:rPr>
      <w:rFonts w:ascii="Calibri" w:hAnsi="Calibri"/>
      <w:szCs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4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unhideWhenUsed/>
    <w:qFormat/>
    <w:uiPriority w:val="99"/>
    <w:pPr>
      <w:spacing w:before="100" w:beforeAutospacing="1" w:after="100" w:afterAutospacing="1"/>
      <w:jc w:val="left"/>
    </w:pPr>
    <w:rPr>
      <w:rFonts w:ascii="宋体" w:hAnsi="宋体" w:cs="宋体"/>
      <w:kern w:val="0"/>
      <w:sz w:val="24"/>
    </w:rPr>
  </w:style>
  <w:style w:type="paragraph" w:styleId="18">
    <w:name w:val="Body Text First Indent"/>
    <w:basedOn w:val="9"/>
    <w:link w:val="40"/>
    <w:unhideWhenUsed/>
    <w:qFormat/>
    <w:uiPriority w:val="0"/>
    <w:pPr>
      <w:widowControl w:val="0"/>
      <w:ind w:firstLine="420" w:firstLineChars="100"/>
    </w:pPr>
    <w:rPr>
      <w:rFonts w:ascii="Calibri" w:hAnsi="Calibri"/>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paragraph" w:customStyle="1" w:styleId="24">
    <w:name w:val="标题 41"/>
    <w:basedOn w:val="1"/>
    <w:qFormat/>
    <w:uiPriority w:val="1"/>
    <w:pPr>
      <w:autoSpaceDE w:val="0"/>
      <w:autoSpaceDN w:val="0"/>
      <w:ind w:left="460"/>
      <w:jc w:val="left"/>
      <w:outlineLvl w:val="4"/>
    </w:pPr>
    <w:rPr>
      <w:rFonts w:ascii="黑体" w:hAnsi="黑体" w:eastAsia="黑体" w:cs="黑体"/>
      <w:b/>
      <w:bCs/>
      <w:kern w:val="0"/>
      <w:sz w:val="28"/>
      <w:szCs w:val="28"/>
      <w:lang w:val="zh-CN" w:bidi="zh-CN"/>
    </w:rPr>
  </w:style>
  <w:style w:type="paragraph" w:customStyle="1" w:styleId="25">
    <w:name w:val="Table Paragraph"/>
    <w:basedOn w:val="1"/>
    <w:qFormat/>
    <w:uiPriority w:val="1"/>
    <w:rPr>
      <w:rFonts w:ascii="宋体" w:hAnsi="宋体" w:cs="宋体"/>
      <w:lang w:val="zh-CN" w:bidi="zh-CN"/>
    </w:rPr>
  </w:style>
  <w:style w:type="paragraph" w:styleId="26">
    <w:name w:val="List Paragraph"/>
    <w:basedOn w:val="1"/>
    <w:qFormat/>
    <w:uiPriority w:val="1"/>
    <w:pPr>
      <w:ind w:left="393" w:firstLine="480"/>
    </w:pPr>
    <w:rPr>
      <w:rFonts w:ascii="宋体" w:hAnsi="宋体" w:cs="宋体"/>
      <w:lang w:val="zh-CN" w:bidi="zh-CN"/>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row_name"/>
    <w:basedOn w:val="1"/>
    <w:qFormat/>
    <w:uiPriority w:val="0"/>
    <w:pPr>
      <w:spacing w:before="100" w:beforeAutospacing="1" w:after="100" w:afterAutospacing="1"/>
      <w:jc w:val="left"/>
    </w:pPr>
    <w:rPr>
      <w:rFonts w:ascii="宋体" w:hAnsi="宋体" w:cs="宋体"/>
      <w:kern w:val="0"/>
      <w:sz w:val="24"/>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1">
    <w:name w:val="标题 1 Char"/>
    <w:qFormat/>
    <w:uiPriority w:val="0"/>
    <w:rPr>
      <w:rFonts w:ascii="Times New Roman" w:hAnsi="Times New Roman"/>
      <w:b/>
      <w:kern w:val="44"/>
      <w:sz w:val="32"/>
    </w:rPr>
  </w:style>
  <w:style w:type="paragraph" w:customStyle="1" w:styleId="32">
    <w:name w:val="表格"/>
    <w:basedOn w:val="1"/>
    <w:qFormat/>
    <w:uiPriority w:val="0"/>
    <w:pPr>
      <w:spacing w:line="400" w:lineRule="exact"/>
    </w:pPr>
    <w:rPr>
      <w:sz w:val="24"/>
      <w:szCs w:val="24"/>
    </w:rPr>
  </w:style>
  <w:style w:type="character" w:customStyle="1" w:styleId="33">
    <w:name w:val="标题 2 字符"/>
    <w:link w:val="5"/>
    <w:qFormat/>
    <w:uiPriority w:val="0"/>
    <w:rPr>
      <w:rFonts w:ascii="Arial" w:hAnsi="Arial" w:eastAsia="宋体"/>
      <w:b/>
      <w:sz w:val="30"/>
    </w:rPr>
  </w:style>
  <w:style w:type="character" w:customStyle="1" w:styleId="34">
    <w:name w:val="标题 1 字符"/>
    <w:link w:val="4"/>
    <w:qFormat/>
    <w:uiPriority w:val="0"/>
    <w:rPr>
      <w:rFonts w:ascii="Times New Roman" w:hAnsi="Times New Roman" w:eastAsia="宋体"/>
      <w:b/>
      <w:bCs/>
      <w:kern w:val="44"/>
      <w:sz w:val="30"/>
      <w:szCs w:val="44"/>
    </w:rPr>
  </w:style>
  <w:style w:type="paragraph" w:customStyle="1" w:styleId="35">
    <w:name w:val="列出段落1"/>
    <w:basedOn w:val="1"/>
    <w:qFormat/>
    <w:uiPriority w:val="0"/>
    <w:pPr>
      <w:ind w:firstLine="420" w:firstLineChars="200"/>
    </w:pPr>
    <w:rPr>
      <w:rFonts w:ascii="Calibri" w:hAnsi="Calibri"/>
    </w:rPr>
  </w:style>
  <w:style w:type="paragraph" w:customStyle="1" w:styleId="36">
    <w:name w:val="正文首行缩进两字符"/>
    <w:basedOn w:val="1"/>
    <w:qFormat/>
    <w:uiPriority w:val="99"/>
    <w:pPr>
      <w:spacing w:line="360" w:lineRule="auto"/>
      <w:ind w:firstLine="200" w:firstLineChars="200"/>
    </w:pPr>
  </w:style>
  <w:style w:type="character" w:customStyle="1" w:styleId="37">
    <w:name w:val="NormalCharacter"/>
    <w:qFormat/>
    <w:uiPriority w:val="0"/>
  </w:style>
  <w:style w:type="character" w:customStyle="1" w:styleId="38">
    <w:name w:val="正文文本 字符"/>
    <w:basedOn w:val="21"/>
    <w:semiHidden/>
    <w:qFormat/>
    <w:uiPriority w:val="99"/>
    <w:rPr>
      <w:kern w:val="2"/>
      <w:sz w:val="21"/>
    </w:rPr>
  </w:style>
  <w:style w:type="character" w:customStyle="1" w:styleId="39">
    <w:name w:val="正文文本 字符1"/>
    <w:basedOn w:val="21"/>
    <w:link w:val="9"/>
    <w:qFormat/>
    <w:uiPriority w:val="99"/>
    <w:rPr>
      <w:kern w:val="2"/>
      <w:sz w:val="21"/>
    </w:rPr>
  </w:style>
  <w:style w:type="character" w:customStyle="1" w:styleId="40">
    <w:name w:val="正文首行缩进 字符"/>
    <w:basedOn w:val="39"/>
    <w:link w:val="18"/>
    <w:qFormat/>
    <w:uiPriority w:val="0"/>
    <w:rPr>
      <w:rFonts w:ascii="Calibri" w:hAnsi="Calibri"/>
      <w:kern w:val="2"/>
      <w:sz w:val="21"/>
      <w:szCs w:val="24"/>
    </w:rPr>
  </w:style>
  <w:style w:type="character" w:customStyle="1" w:styleId="41">
    <w:name w:val="正文文本缩进 2 字符"/>
    <w:basedOn w:val="21"/>
    <w:qFormat/>
    <w:uiPriority w:val="0"/>
    <w:rPr>
      <w:kern w:val="2"/>
      <w:sz w:val="21"/>
    </w:rPr>
  </w:style>
  <w:style w:type="character" w:customStyle="1" w:styleId="42">
    <w:name w:val="GW-正文 Char"/>
    <w:link w:val="43"/>
    <w:qFormat/>
    <w:locked/>
    <w:uiPriority w:val="0"/>
    <w:rPr>
      <w:rFonts w:ascii="仿宋_GB2312" w:eastAsia="仿宋_GB2312"/>
      <w:kern w:val="2"/>
      <w:sz w:val="24"/>
      <w:szCs w:val="24"/>
    </w:rPr>
  </w:style>
  <w:style w:type="paragraph" w:customStyle="1" w:styleId="43">
    <w:name w:val="GW-正文"/>
    <w:basedOn w:val="1"/>
    <w:link w:val="42"/>
    <w:qFormat/>
    <w:uiPriority w:val="0"/>
    <w:pPr>
      <w:widowControl w:val="0"/>
      <w:spacing w:line="360" w:lineRule="auto"/>
      <w:ind w:firstLine="200" w:firstLineChars="200"/>
    </w:pPr>
    <w:rPr>
      <w:rFonts w:ascii="仿宋_GB2312" w:eastAsia="仿宋_GB2312"/>
      <w:sz w:val="24"/>
      <w:szCs w:val="24"/>
    </w:rPr>
  </w:style>
  <w:style w:type="character" w:customStyle="1" w:styleId="44">
    <w:name w:val="正文文本缩进 2 字符1"/>
    <w:link w:val="12"/>
    <w:qFormat/>
    <w:locked/>
    <w:uiPriority w:val="0"/>
    <w:rPr>
      <w:rFonts w:ascii="Calibri" w:hAnsi="Calibri"/>
      <w:kern w:val="2"/>
      <w:sz w:val="21"/>
      <w:szCs w:val="24"/>
    </w:rPr>
  </w:style>
  <w:style w:type="character" w:customStyle="1" w:styleId="45">
    <w:name w:val="页眉 字符1"/>
    <w:link w:val="14"/>
    <w:qFormat/>
    <w:locked/>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4738</Words>
  <Characters>27009</Characters>
  <Lines>225</Lines>
  <Paragraphs>63</Paragraphs>
  <TotalTime>2</TotalTime>
  <ScaleCrop>false</ScaleCrop>
  <LinksUpToDate>false</LinksUpToDate>
  <CharactersWithSpaces>31684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几只鱼</cp:lastModifiedBy>
  <cp:lastPrinted>2021-09-10T01:02:00Z</cp:lastPrinted>
  <dcterms:modified xsi:type="dcterms:W3CDTF">2021-12-17T08:59:12Z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50E86495FC564509BF4C5E88A97D69AE</vt:lpwstr>
  </property>
</Properties>
</file>